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ascii="宋体" w:hAnsi="宋体" w:eastAsia="宋体" w:cs="宋体"/>
          <w:sz w:val="24"/>
          <w:highlight w:val="none"/>
          <w:lang w:val="zh-CN"/>
        </w:rPr>
      </w:pPr>
      <w:r>
        <w:rPr>
          <w:rFonts w:hint="eastAsia" w:ascii="宋体" w:hAnsi="宋体" w:eastAsia="宋体" w:cs="宋体"/>
          <w:sz w:val="24"/>
          <w:highlight w:val="none"/>
          <w:lang w:val="zh-CN"/>
        </w:rPr>
      </w:r>
      <w:r/>
    </w:p>
    <w:p>
      <w:pPr>
        <w:spacing w:line="360" w:lineRule="auto"/>
        <w:rPr>
          <w:rFonts w:hint="eastAsia" w:ascii="宋体" w:hAnsi="宋体" w:eastAsia="宋体" w:cs="宋体"/>
          <w:sz w:val="24"/>
          <w:highlight w:val="none"/>
          <w:lang w:val="zh-CN"/>
        </w:rPr>
      </w:pPr>
      <w:r>
        <w:rPr>
          <w:rFonts w:hint="eastAsia" w:ascii="宋体" w:hAnsi="宋体" w:eastAsia="宋体" w:cs="宋体"/>
          <w:sz w:val="24"/>
          <w:highlight w:val="none"/>
          <w:lang w:val="zh-CN"/>
        </w:rPr>
      </w:r>
      <w:r/>
    </w:p>
    <w:p>
      <w:pPr>
        <w:spacing w:line="360" w:lineRule="auto"/>
        <w:rPr>
          <w:rFonts w:hint="eastAsia" w:ascii="宋体" w:hAnsi="宋体" w:eastAsia="宋体" w:cs="宋体"/>
          <w:sz w:val="24"/>
          <w:highlight w:val="none"/>
          <w:lang w:val="zh-CN"/>
        </w:rPr>
      </w:pPr>
      <w:r>
        <w:rPr>
          <w:rFonts w:hint="eastAsia" w:ascii="宋体" w:hAnsi="宋体" w:eastAsia="宋体" w:cs="宋体"/>
          <w:sz w:val="24"/>
          <w:highlight w:val="none"/>
          <w:lang w:val="zh-CN"/>
        </w:rPr>
      </w:r>
      <w:r/>
    </w:p>
    <w:p>
      <w:pPr>
        <w:spacing w:line="360" w:lineRule="auto"/>
        <w:rPr>
          <w:rFonts w:hint="eastAsia" w:ascii="宋体" w:hAnsi="宋体" w:eastAsia="宋体" w:cs="宋体"/>
          <w:sz w:val="24"/>
          <w:highlight w:val="none"/>
          <w:lang w:val="zh-CN"/>
        </w:rPr>
      </w:pPr>
      <w:r>
        <w:rPr>
          <w:rFonts w:hint="eastAsia" w:ascii="宋体" w:hAnsi="宋体" w:eastAsia="宋体" w:cs="宋体"/>
          <w:sz w:val="24"/>
          <w:highlight w:val="none"/>
          <w:lang w:val="zh-CN"/>
        </w:rPr>
      </w:r>
      <w:r/>
    </w:p>
    <w:p>
      <w:pPr>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r>
      <w:r/>
    </w:p>
    <w:p>
      <w:pPr>
        <w:spacing w:line="360" w:lineRule="auto"/>
        <w:rPr>
          <w:rFonts w:hint="eastAsia" w:ascii="宋体" w:hAnsi="宋体" w:eastAsia="宋体" w:cs="宋体"/>
          <w:sz w:val="24"/>
          <w:highlight w:val="none"/>
          <w:lang w:val="zh-CN"/>
        </w:rPr>
      </w:pPr>
      <w:r>
        <w:rPr>
          <w:rFonts w:hint="eastAsia" w:ascii="宋体" w:hAnsi="宋体" w:eastAsia="宋体" w:cs="宋体"/>
          <w:sz w:val="24"/>
          <w:highlight w:val="none"/>
          <w:lang w:val="zh-CN"/>
        </w:rPr>
      </w:r>
      <w:r/>
    </w:p>
    <w:p>
      <w:pPr>
        <w:jc w:val="center"/>
        <w:spacing w:line="360" w:lineRule="auto"/>
        <w:rPr>
          <w:rFonts w:hint="eastAsia" w:ascii="宋体" w:hAnsi="宋体" w:eastAsia="宋体" w:cs="宋体"/>
          <w:b/>
          <w:bCs/>
          <w:sz w:val="72"/>
          <w:szCs w:val="72"/>
          <w:highlight w:val="none"/>
          <w:lang w:val="zh-CN"/>
        </w:rPr>
      </w:pPr>
      <w:r>
        <w:rPr>
          <w:rFonts w:hint="eastAsia" w:ascii="宋体" w:hAnsi="宋体" w:eastAsia="宋体" w:cs="宋体"/>
          <w:b/>
          <w:bCs/>
          <w:sz w:val="72"/>
          <w:szCs w:val="72"/>
          <w:highlight w:val="none"/>
          <w:lang w:val="zh-CN"/>
        </w:rPr>
        <w:t xml:space="preserve">苏州市吴江区政府采购</w:t>
      </w:r>
      <w:r/>
    </w:p>
    <w:p>
      <w:pPr>
        <w:jc w:val="center"/>
        <w:spacing w:line="360" w:lineRule="auto"/>
        <w:rPr>
          <w:rFonts w:hint="eastAsia" w:ascii="宋体" w:hAnsi="宋体" w:eastAsia="宋体" w:cs="宋体"/>
          <w:b/>
          <w:bCs/>
          <w:sz w:val="72"/>
          <w:szCs w:val="72"/>
          <w:highlight w:val="none"/>
          <w:lang w:val="zh-CN"/>
        </w:rPr>
      </w:pPr>
      <w:r>
        <w:rPr>
          <w:rFonts w:hint="eastAsia" w:ascii="宋体" w:hAnsi="宋体" w:eastAsia="宋体" w:cs="宋体"/>
          <w:b/>
          <w:bCs/>
          <w:sz w:val="72"/>
          <w:szCs w:val="72"/>
          <w:highlight w:val="none"/>
          <w:lang w:val="zh-CN"/>
        </w:rPr>
        <w:t xml:space="preserve">招 标 文 件 </w:t>
      </w:r>
      <w:r/>
    </w:p>
    <w:p>
      <w:pPr>
        <w:spacing w:line="360" w:lineRule="auto"/>
        <w:rPr>
          <w:rFonts w:hint="eastAsia" w:ascii="宋体" w:hAnsi="宋体" w:eastAsia="宋体" w:cs="宋体"/>
          <w:sz w:val="24"/>
          <w:highlight w:val="none"/>
          <w:lang w:val="zh-CN"/>
        </w:rPr>
      </w:pPr>
      <w:r>
        <w:rPr>
          <w:rFonts w:hint="eastAsia" w:ascii="宋体" w:hAnsi="宋体" w:eastAsia="宋体" w:cs="宋体"/>
          <w:sz w:val="24"/>
          <w:highlight w:val="none"/>
          <w:lang w:val="zh-CN"/>
        </w:rPr>
      </w:r>
      <w:r/>
    </w:p>
    <w:p>
      <w:pPr>
        <w:pStyle w:val="1024"/>
        <w:ind w:firstLine="420"/>
        <w:rPr>
          <w:rFonts w:hint="eastAsia" w:ascii="宋体" w:hAnsi="宋体" w:eastAsia="宋体" w:cs="宋体"/>
          <w:highlight w:val="none"/>
          <w:lang w:val="zh-CN"/>
        </w:rPr>
      </w:pPr>
      <w:r>
        <w:rPr>
          <w:rFonts w:hint="eastAsia" w:ascii="宋体" w:hAnsi="宋体" w:eastAsia="宋体" w:cs="宋体"/>
          <w:highlight w:val="none"/>
          <w:lang w:val="zh-CN"/>
        </w:rPr>
      </w:r>
      <w:r/>
    </w:p>
    <w:p>
      <w:pPr>
        <w:spacing w:line="360" w:lineRule="auto"/>
        <w:rPr>
          <w:rFonts w:hint="eastAsia" w:ascii="宋体" w:hAnsi="宋体" w:eastAsia="宋体" w:cs="宋体"/>
          <w:sz w:val="24"/>
          <w:highlight w:val="none"/>
          <w:lang w:val="zh-CN"/>
        </w:rPr>
      </w:pPr>
      <w:r>
        <w:rPr>
          <w:rFonts w:hint="eastAsia" w:ascii="宋体" w:hAnsi="宋体" w:eastAsia="宋体" w:cs="宋体"/>
          <w:sz w:val="24"/>
          <w:highlight w:val="none"/>
          <w:lang w:val="zh-CN"/>
        </w:rPr>
      </w:r>
      <w:r/>
    </w:p>
    <w:p>
      <w:pPr>
        <w:spacing w:line="360" w:lineRule="auto"/>
        <w:rPr>
          <w:rFonts w:hint="eastAsia" w:ascii="宋体" w:hAnsi="宋体" w:eastAsia="宋体" w:cs="宋体"/>
          <w:highlight w:val="none"/>
        </w:rPr>
      </w:pPr>
      <w:r>
        <w:rPr>
          <w:rFonts w:hint="eastAsia" w:ascii="宋体" w:hAnsi="宋体" w:eastAsia="宋体" w:cs="宋体"/>
          <w:highlight w:val="none"/>
        </w:rPr>
      </w:r>
      <w:r/>
    </w:p>
    <w:p>
      <w:pPr>
        <w:jc w:val="center"/>
        <w:spacing w:line="360" w:lineRule="auto"/>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招标编号：</w:t>
      </w:r>
      <w:r>
        <w:rPr>
          <w:rFonts w:hint="eastAsia" w:ascii="宋体" w:hAnsi="宋体" w:cs="宋体"/>
          <w:sz w:val="30"/>
          <w:szCs w:val="30"/>
          <w:highlight w:val="none"/>
          <w:lang w:eastAsia="zh-CN"/>
        </w:rPr>
        <w:t xml:space="preserve">JSZC-320509-SZST-G2026-0022</w:t>
      </w:r>
      <w:r/>
    </w:p>
    <w:p>
      <w:pPr>
        <w:jc w:val="center"/>
        <w:spacing w:line="360" w:lineRule="auto"/>
        <w:rPr>
          <w:rFonts w:hint="eastAsia" w:ascii="宋体" w:hAnsi="宋体" w:eastAsia="宋体" w:cs="宋体"/>
          <w:sz w:val="28"/>
          <w:szCs w:val="28"/>
          <w:highlight w:val="none"/>
          <w:lang w:eastAsia="zh-CN"/>
        </w:rPr>
      </w:pPr>
      <w:r>
        <w:rPr>
          <w:rFonts w:hint="eastAsia" w:ascii="宋体" w:hAnsi="宋体" w:eastAsia="宋体" w:cs="宋体"/>
          <w:sz w:val="30"/>
          <w:szCs w:val="30"/>
          <w:highlight w:val="none"/>
        </w:rPr>
        <w:t xml:space="preserve">项目名称：</w:t>
      </w:r>
      <w:r>
        <w:rPr>
          <w:rFonts w:hint="eastAsia" w:ascii="宋体" w:hAnsi="宋体" w:cs="宋体"/>
          <w:sz w:val="30"/>
          <w:szCs w:val="30"/>
          <w:highlight w:val="none"/>
          <w:lang w:eastAsia="zh-CN"/>
        </w:rPr>
        <w:t xml:space="preserve">灭火救援器材装备采购</w:t>
      </w:r>
      <w:r/>
    </w:p>
    <w:p>
      <w:pPr>
        <w:jc w:val="center"/>
        <w:spacing w:line="360" w:lineRule="auto"/>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项目类别：货物类</w:t>
      </w:r>
      <w:r/>
    </w:p>
    <w:p>
      <w:pPr>
        <w:jc w:val="center"/>
        <w:spacing w:line="360" w:lineRule="auto"/>
        <w:rPr>
          <w:rFonts w:hint="eastAsia" w:ascii="宋体" w:hAnsi="宋体" w:eastAsia="宋体" w:cs="宋体"/>
          <w:sz w:val="30"/>
          <w:szCs w:val="30"/>
          <w:highlight w:val="none"/>
          <w:lang w:eastAsia="zh-CN"/>
        </w:rPr>
      </w:pPr>
      <w:r>
        <w:rPr>
          <w:rFonts w:hint="eastAsia" w:ascii="宋体" w:hAnsi="宋体" w:cs="宋体"/>
          <w:sz w:val="30"/>
          <w:szCs w:val="30"/>
          <w:highlight w:val="none"/>
          <w:lang w:val="en-US" w:eastAsia="zh-CN"/>
        </w:rPr>
        <w:t xml:space="preserve">招标</w:t>
      </w:r>
      <w:r>
        <w:rPr>
          <w:rFonts w:hint="eastAsia" w:ascii="宋体" w:hAnsi="宋体" w:eastAsia="宋体" w:cs="宋体"/>
          <w:sz w:val="30"/>
          <w:szCs w:val="30"/>
          <w:highlight w:val="none"/>
        </w:rPr>
        <w:t xml:space="preserve">单位：</w:t>
      </w:r>
      <w:r>
        <w:rPr>
          <w:rFonts w:hint="eastAsia" w:ascii="宋体" w:hAnsi="宋体" w:cs="宋体"/>
          <w:sz w:val="30"/>
          <w:szCs w:val="30"/>
          <w:highlight w:val="none"/>
          <w:lang w:eastAsia="zh-CN"/>
        </w:rPr>
        <w:t xml:space="preserve">苏州市吴江区人民政府松陵街道办事处</w:t>
      </w:r>
      <w:r/>
    </w:p>
    <w:p>
      <w:pPr>
        <w:spacing w:line="360" w:lineRule="auto"/>
        <w:rPr>
          <w:rFonts w:hint="eastAsia" w:ascii="宋体" w:hAnsi="宋体" w:eastAsia="宋体" w:cs="宋体"/>
          <w:bCs/>
          <w:sz w:val="30"/>
          <w:szCs w:val="30"/>
          <w:highlight w:val="none"/>
        </w:rPr>
      </w:pPr>
      <w:r>
        <w:rPr>
          <w:rFonts w:hint="eastAsia" w:ascii="宋体" w:hAnsi="宋体" w:eastAsia="宋体" w:cs="宋体"/>
          <w:bCs/>
          <w:sz w:val="30"/>
          <w:szCs w:val="30"/>
          <w:highlight w:val="none"/>
        </w:rPr>
      </w:r>
      <w:r/>
    </w:p>
    <w:p>
      <w:pPr>
        <w:keepLines w:val="0"/>
        <w:keepNext w:val="0"/>
        <w:pageBreakBefore w:val="0"/>
        <w:spacing w:line="360" w:lineRule="auto"/>
        <w:rPr>
          <w:rFonts w:hint="eastAsia" w:ascii="宋体" w:hAnsi="宋体" w:eastAsia="宋体" w:cs="宋体"/>
          <w:bCs/>
          <w:sz w:val="30"/>
          <w:szCs w:val="30"/>
          <w:highlight w:val="none"/>
        </w:rPr>
      </w:pPr>
      <w:r>
        <w:rPr>
          <w:rFonts w:hint="eastAsia" w:ascii="宋体" w:hAnsi="宋体" w:eastAsia="宋体" w:cs="宋体"/>
          <w:bCs/>
          <w:sz w:val="30"/>
          <w:szCs w:val="30"/>
          <w:highlight w:val="none"/>
        </w:rPr>
      </w:r>
      <w:r/>
    </w:p>
    <w:p>
      <w:pPr>
        <w:pStyle w:val="1024"/>
        <w:ind w:firstLine="600"/>
        <w:keepLines w:val="0"/>
        <w:keepNext w:val="0"/>
        <w:pageBreakBefore w:val="0"/>
        <w:rPr>
          <w:rFonts w:hint="eastAsia" w:ascii="宋体" w:hAnsi="宋体" w:eastAsia="宋体" w:cs="宋体"/>
          <w:bCs/>
          <w:sz w:val="30"/>
          <w:szCs w:val="30"/>
          <w:highlight w:val="none"/>
        </w:rPr>
      </w:pPr>
      <w:r>
        <w:rPr>
          <w:rFonts w:hint="eastAsia" w:ascii="宋体" w:hAnsi="宋体" w:eastAsia="宋体" w:cs="宋体"/>
          <w:bCs/>
          <w:sz w:val="30"/>
          <w:szCs w:val="30"/>
          <w:highlight w:val="none"/>
        </w:rPr>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r>
      <w:r/>
    </w:p>
    <w:p>
      <w:pPr>
        <w:jc w:val="center"/>
        <w:keepLines w:val="0"/>
        <w:keepNext w:val="0"/>
        <w:pageBreakBefore w:val="0"/>
        <w:spacing w:line="360" w:lineRule="auto"/>
        <w:rPr>
          <w:rFonts w:hint="eastAsia" w:ascii="宋体" w:hAnsi="宋体" w:eastAsia="宋体" w:cs="宋体"/>
          <w:b w:val="0"/>
          <w:bCs/>
          <w:sz w:val="30"/>
          <w:highlight w:val="none"/>
        </w:rPr>
      </w:pPr>
      <w:r>
        <w:rPr>
          <w:rFonts w:hint="eastAsia" w:ascii="宋体" w:hAnsi="宋体" w:eastAsia="宋体" w:cs="宋体"/>
          <w:b w:val="0"/>
          <w:bCs/>
          <w:sz w:val="30"/>
          <w:highlight w:val="none"/>
        </w:rPr>
        <w:t xml:space="preserve">代理机构：苏州市天美达招投标咨询服务有限公司</w:t>
      </w:r>
      <w:r/>
    </w:p>
    <w:p>
      <w:pPr>
        <w:ind w:firstLine="3162"/>
        <w:keepLines w:val="0"/>
        <w:keepNext w:val="0"/>
        <w:pageBreakBefore w:val="0"/>
        <w:spacing w:line="360" w:lineRule="auto"/>
        <w:rPr>
          <w:rFonts w:hint="eastAsia" w:ascii="宋体" w:hAnsi="宋体" w:eastAsia="宋体" w:cs="宋体"/>
          <w:b w:val="0"/>
          <w:bCs/>
          <w:sz w:val="30"/>
          <w:highlight w:val="none"/>
        </w:rPr>
      </w:pPr>
      <w:r>
        <w:rPr>
          <w:rFonts w:hint="eastAsia" w:ascii="宋体" w:hAnsi="宋体" w:eastAsia="宋体" w:cs="宋体"/>
          <w:b w:val="0"/>
          <w:bCs/>
          <w:sz w:val="30"/>
          <w:highlight w:val="none"/>
        </w:rPr>
        <w:t xml:space="preserve">二〇二</w:t>
      </w:r>
      <w:r>
        <w:rPr>
          <w:rFonts w:hint="eastAsia" w:ascii="宋体" w:hAnsi="宋体" w:cs="宋体"/>
          <w:b w:val="0"/>
          <w:bCs/>
          <w:sz w:val="30"/>
          <w:highlight w:val="none"/>
          <w:lang w:val="en-US" w:eastAsia="zh-CN"/>
        </w:rPr>
        <w:t xml:space="preserve">六</w:t>
      </w:r>
      <w:r>
        <w:rPr>
          <w:rFonts w:hint="eastAsia" w:ascii="宋体" w:hAnsi="宋体" w:eastAsia="宋体" w:cs="宋体"/>
          <w:b w:val="0"/>
          <w:bCs/>
          <w:sz w:val="30"/>
          <w:highlight w:val="none"/>
        </w:rPr>
        <w:t xml:space="preserve">年</w:t>
      </w:r>
      <w:r>
        <w:rPr>
          <w:rFonts w:hint="eastAsia" w:ascii="宋体" w:hAnsi="宋体" w:cs="宋体"/>
          <w:b w:val="0"/>
          <w:bCs/>
          <w:sz w:val="30"/>
          <w:highlight w:val="none"/>
          <w:lang w:val="en-US" w:eastAsia="zh-CN"/>
        </w:rPr>
        <w:t xml:space="preserve">六</w:t>
      </w:r>
      <w:r>
        <w:rPr>
          <w:rFonts w:hint="eastAsia" w:ascii="宋体" w:hAnsi="宋体" w:eastAsia="宋体" w:cs="宋体"/>
          <w:b w:val="0"/>
          <w:bCs/>
          <w:sz w:val="30"/>
          <w:highlight w:val="none"/>
        </w:rPr>
        <w:t xml:space="preserve">月</w:t>
      </w:r>
      <w:r/>
    </w:p>
    <w:p>
      <w:pPr>
        <w:pStyle w:val="797"/>
        <w:rPr>
          <w:rFonts w:hint="eastAsia"/>
          <w:highlight w:val="none"/>
        </w:rPr>
      </w:pPr>
      <w:r>
        <w:rPr>
          <w:rFonts w:hint="eastAsia"/>
          <w:highlight w:val="none"/>
        </w:rPr>
      </w:r>
      <w:r/>
    </w:p>
    <w:p>
      <w:pPr>
        <w:jc w:val="center"/>
        <w:rPr>
          <w:rFonts w:hint="eastAsia" w:ascii="宋体" w:hAnsi="宋体" w:eastAsia="宋体" w:cs="宋体"/>
          <w:sz w:val="52"/>
          <w:highlight w:val="none"/>
        </w:rPr>
        <w:sectPr>
          <w:headerReference w:type="default" r:id="rId9"/>
          <w:headerReference w:type="even" r:id="rId10"/>
          <w:headerReference w:type="first" r:id="rId11"/>
          <w:footerReference w:type="default" r:id="rId12"/>
          <w:footerReference w:type="even" r:id="rId13"/>
          <w:footnotePr/>
          <w:endnotePr/>
          <w:type w:val="nextPage"/>
          <w:pgSz w:w="11906" w:h="16838" w:orient="portrait"/>
          <w:pgMar w:top="1440" w:right="1800" w:bottom="1440" w:left="1800" w:header="851" w:footer="788" w:gutter="0"/>
          <w:cols w:num="1" w:sep="0" w:space="1701" w:equalWidth="1"/>
          <w:docGrid w:linePitch="360"/>
          <w:titlePg/>
        </w:sectPr>
      </w:pPr>
      <w:r/>
      <w:bookmarkStart w:id="0" w:name="_Toc288547513"/>
      <w:r/>
      <w:bookmarkStart w:id="1" w:name="_Toc230158462"/>
      <w:r/>
      <w:bookmarkStart w:id="2" w:name="_Toc7115787"/>
      <w:r/>
      <w:bookmarkStart w:id="3" w:name="_Toc419388186"/>
      <w:r/>
      <w:r/>
    </w:p>
    <w:p>
      <w:pPr>
        <w:jc w:val="center"/>
        <w:rPr>
          <w:rFonts w:hint="eastAsia" w:ascii="宋体" w:hAnsi="宋体" w:eastAsia="宋体" w:cs="宋体"/>
          <w:sz w:val="52"/>
          <w:highlight w:val="none"/>
        </w:rPr>
      </w:pPr>
      <w:r>
        <w:rPr>
          <w:rFonts w:hint="eastAsia" w:ascii="宋体" w:hAnsi="宋体" w:eastAsia="宋体" w:cs="宋体"/>
          <w:sz w:val="52"/>
          <w:highlight w:val="none"/>
        </w:rPr>
      </w:r>
      <w:r/>
    </w:p>
    <w:p>
      <w:pPr>
        <w:jc w:val="center"/>
        <w:rPr>
          <w:rFonts w:hint="eastAsia" w:ascii="宋体" w:hAnsi="宋体" w:eastAsia="宋体" w:cs="宋体"/>
          <w:sz w:val="52"/>
          <w:highlight w:val="none"/>
        </w:rPr>
      </w:pPr>
      <w:r>
        <w:rPr>
          <w:rFonts w:hint="eastAsia" w:ascii="宋体" w:hAnsi="宋体" w:eastAsia="宋体" w:cs="宋体"/>
          <w:sz w:val="52"/>
          <w:highlight w:val="none"/>
        </w:rPr>
        <w:t xml:space="preserve">目     录</w:t>
      </w:r>
      <w:r/>
    </w:p>
    <w:p>
      <w:pPr>
        <w:pStyle w:val="986"/>
        <w:ind w:firstLine="0"/>
        <w:jc w:val="center"/>
        <w:rPr>
          <w:rFonts w:hint="eastAsia" w:ascii="宋体" w:hAnsi="宋体" w:eastAsia="宋体" w:cs="宋体"/>
          <w:sz w:val="30"/>
          <w:highlight w:val="none"/>
        </w:rPr>
      </w:pPr>
      <w:r>
        <w:rPr>
          <w:rFonts w:hint="eastAsia" w:ascii="宋体" w:hAnsi="宋体" w:eastAsia="宋体" w:cs="宋体"/>
          <w:sz w:val="30"/>
          <w:highlight w:val="none"/>
        </w:rPr>
      </w:r>
      <w:r/>
    </w:p>
    <w:p>
      <w:pPr>
        <w:pStyle w:val="1008"/>
        <w:ind w:firstLine="237"/>
        <w:rPr>
          <w:rFonts w:hint="eastAsia" w:ascii="宋体" w:hAnsi="宋体" w:eastAsia="宋体" w:cs="宋体"/>
          <w:sz w:val="36"/>
          <w:highlight w:val="none"/>
        </w:rPr>
      </w:pPr>
      <w:r>
        <w:rPr>
          <w:rFonts w:hint="eastAsia" w:ascii="宋体" w:hAnsi="宋体" w:eastAsia="宋体" w:cs="宋体"/>
          <w:sz w:val="36"/>
          <w:highlight w:val="none"/>
        </w:rPr>
        <w:fldChar w:fldCharType="begin"/>
      </w:r>
      <w:r>
        <w:rPr>
          <w:rFonts w:hint="eastAsia" w:ascii="宋体" w:hAnsi="宋体" w:eastAsia="宋体" w:cs="宋体"/>
          <w:sz w:val="36"/>
          <w:highlight w:val="none"/>
        </w:rPr>
        <w:instrText xml:space="preserve"> TOC \o "1-1" </w:instrText>
      </w:r>
      <w:r>
        <w:rPr>
          <w:rFonts w:hint="eastAsia" w:ascii="宋体" w:hAnsi="宋体" w:eastAsia="宋体" w:cs="宋体"/>
          <w:sz w:val="36"/>
          <w:highlight w:val="none"/>
        </w:rPr>
        <w:fldChar w:fldCharType="separate"/>
      </w:r>
      <w:r>
        <w:rPr>
          <w:rFonts w:hint="eastAsia" w:ascii="宋体" w:hAnsi="宋体" w:eastAsia="宋体" w:cs="宋体"/>
          <w:sz w:val="36"/>
          <w:highlight w:val="none"/>
        </w:rPr>
        <w:t xml:space="preserve">第一章 投标邀请</w:t>
      </w:r>
      <w:r/>
    </w:p>
    <w:p>
      <w:pPr>
        <w:pStyle w:val="1008"/>
        <w:ind w:firstLine="237"/>
        <w:rPr>
          <w:rFonts w:hint="eastAsia" w:ascii="宋体" w:hAnsi="宋体" w:eastAsia="宋体" w:cs="宋体"/>
          <w:sz w:val="36"/>
          <w:highlight w:val="none"/>
        </w:rPr>
      </w:pPr>
      <w:r>
        <w:rPr>
          <w:rFonts w:hint="eastAsia" w:ascii="宋体" w:hAnsi="宋体" w:eastAsia="宋体" w:cs="宋体"/>
          <w:sz w:val="36"/>
          <w:highlight w:val="none"/>
        </w:rPr>
        <w:t xml:space="preserve">第二章 </w:t>
      </w:r>
      <w:r>
        <w:rPr>
          <w:rFonts w:hint="eastAsia" w:ascii="宋体" w:hAnsi="宋体" w:eastAsia="宋体" w:cs="宋体"/>
          <w:sz w:val="36"/>
          <w:highlight w:val="none"/>
          <w:lang w:eastAsia="zh-CN"/>
        </w:rPr>
        <w:t xml:space="preserve">投标单位</w:t>
      </w:r>
      <w:r>
        <w:rPr>
          <w:rFonts w:hint="eastAsia" w:ascii="宋体" w:hAnsi="宋体" w:eastAsia="宋体" w:cs="宋体"/>
          <w:sz w:val="36"/>
          <w:highlight w:val="none"/>
        </w:rPr>
        <w:t xml:space="preserve">须知</w:t>
      </w:r>
      <w:r/>
    </w:p>
    <w:p>
      <w:pPr>
        <w:pStyle w:val="1008"/>
        <w:ind w:firstLine="237"/>
        <w:rPr>
          <w:rFonts w:hint="eastAsia" w:ascii="宋体" w:hAnsi="宋体" w:eastAsia="宋体" w:cs="宋体"/>
          <w:sz w:val="36"/>
          <w:highlight w:val="none"/>
        </w:rPr>
      </w:pPr>
      <w:r>
        <w:rPr>
          <w:rFonts w:hint="eastAsia" w:ascii="宋体" w:hAnsi="宋体" w:eastAsia="宋体" w:cs="宋体"/>
          <w:sz w:val="36"/>
          <w:highlight w:val="none"/>
        </w:rPr>
        <w:t xml:space="preserve">第三章 投标文件格式</w:t>
      </w:r>
      <w:r/>
    </w:p>
    <w:p>
      <w:pPr>
        <w:pStyle w:val="1008"/>
        <w:ind w:firstLine="237"/>
        <w:rPr>
          <w:rFonts w:hint="eastAsia" w:ascii="宋体" w:hAnsi="宋体" w:eastAsia="宋体" w:cs="宋体"/>
          <w:sz w:val="36"/>
          <w:highlight w:val="none"/>
        </w:rPr>
      </w:pPr>
      <w:r>
        <w:rPr>
          <w:rFonts w:hint="eastAsia" w:ascii="宋体" w:hAnsi="宋体" w:eastAsia="宋体" w:cs="宋体"/>
          <w:sz w:val="36"/>
          <w:highlight w:val="none"/>
        </w:rPr>
        <w:t xml:space="preserve">第四章 招标书</w:t>
      </w:r>
      <w:r/>
    </w:p>
    <w:p>
      <w:pPr>
        <w:pStyle w:val="1008"/>
        <w:ind w:firstLine="237"/>
        <w:rPr>
          <w:rFonts w:hint="eastAsia" w:ascii="宋体" w:hAnsi="宋体" w:eastAsia="宋体" w:cs="宋体"/>
          <w:sz w:val="36"/>
          <w:highlight w:val="none"/>
        </w:rPr>
      </w:pPr>
      <w:r>
        <w:rPr>
          <w:rFonts w:hint="eastAsia" w:ascii="宋体" w:hAnsi="宋体" w:eastAsia="宋体" w:cs="宋体"/>
          <w:sz w:val="36"/>
          <w:highlight w:val="none"/>
        </w:rPr>
        <w:t xml:space="preserve">第五章 合同主要条款</w:t>
      </w:r>
      <w:r/>
    </w:p>
    <w:p>
      <w:pPr>
        <w:pStyle w:val="1008"/>
        <w:ind w:firstLine="237"/>
        <w:rPr>
          <w:rFonts w:hint="eastAsia" w:ascii="宋体" w:hAnsi="宋体" w:eastAsia="宋体" w:cs="宋体"/>
          <w:sz w:val="36"/>
          <w:highlight w:val="none"/>
        </w:rPr>
      </w:pPr>
      <w:r>
        <w:rPr>
          <w:rFonts w:hint="eastAsia" w:ascii="宋体" w:hAnsi="宋体" w:eastAsia="宋体" w:cs="宋体"/>
          <w:sz w:val="36"/>
          <w:highlight w:val="none"/>
        </w:rPr>
        <w:t xml:space="preserve">第六章 评标方法、评分标准</w:t>
      </w:r>
      <w:r/>
    </w:p>
    <w:p>
      <w:pPr>
        <w:rPr>
          <w:rFonts w:hint="eastAsia" w:ascii="宋体" w:hAnsi="宋体" w:eastAsia="宋体" w:cs="宋体"/>
          <w:highlight w:val="none"/>
        </w:rPr>
        <w:sectPr>
          <w:footerReference w:type="default" r:id="rId14"/>
          <w:footerReference w:type="first" r:id="rId15"/>
          <w:footnotePr/>
          <w:endnotePr/>
          <w:type w:val="nextPage"/>
          <w:pgSz w:w="11906" w:h="16838" w:orient="portrait"/>
          <w:pgMar w:top="1440" w:right="1800" w:bottom="1440" w:left="1800" w:header="851" w:footer="788" w:gutter="0"/>
          <w:cols w:num="1" w:sep="0" w:space="1701" w:equalWidth="1"/>
          <w:docGrid w:linePitch="360"/>
          <w:titlePg/>
        </w:sectPr>
      </w:pPr>
      <w:r>
        <w:rPr>
          <w:rFonts w:hint="eastAsia" w:ascii="宋体" w:hAnsi="宋体" w:eastAsia="宋体" w:cs="宋体"/>
          <w:highlight w:val="none"/>
        </w:rPr>
      </w:r>
      <w:r/>
    </w:p>
    <w:p>
      <w:pPr>
        <w:pStyle w:val="973"/>
        <w:numPr>
          <w:ilvl w:val="0"/>
          <w:numId w:val="0"/>
        </w:numPr>
        <w:jc w:val="center"/>
        <w:pageBreakBefore/>
        <w:spacing w:before="0" w:after="0" w:line="360" w:lineRule="auto"/>
        <w:rPr>
          <w:rFonts w:hint="eastAsia" w:ascii="宋体" w:hAnsi="宋体" w:eastAsia="宋体" w:cs="宋体"/>
          <w:sz w:val="32"/>
          <w:szCs w:val="32"/>
          <w:highlight w:val="none"/>
          <w:u w:val="single"/>
          <w:lang w:val="zh-CN"/>
        </w:rPr>
      </w:pPr>
      <w:r>
        <w:rPr>
          <w:rFonts w:hint="eastAsia" w:ascii="宋体" w:hAnsi="宋体" w:eastAsia="宋体" w:cs="宋体"/>
          <w:sz w:val="36"/>
          <w:highlight w:val="none"/>
        </w:rPr>
        <w:fldChar w:fldCharType="end"/>
      </w:r>
      <w:r>
        <w:rPr>
          <w:rFonts w:hint="eastAsia" w:ascii="宋体" w:hAnsi="宋体" w:eastAsia="宋体" w:cs="宋体"/>
          <w:sz w:val="32"/>
          <w:szCs w:val="32"/>
          <w:highlight w:val="none"/>
          <w:lang w:val="zh-CN"/>
        </w:rPr>
        <w:t xml:space="preserve">第一章  投标邀请函</w:t>
      </w:r>
      <w:bookmarkEnd w:id="0"/>
      <w:r/>
      <w:bookmarkEnd w:id="1"/>
      <w:r/>
      <w:bookmarkEnd w:id="2"/>
      <w:r/>
      <w:bookmarkEnd w:id="3"/>
      <w:r/>
      <w:r/>
    </w:p>
    <w:p>
      <w:p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受</w:t>
      </w:r>
      <w:r>
        <w:rPr>
          <w:rFonts w:hint="eastAsia" w:ascii="宋体" w:hAnsi="宋体" w:cs="宋体"/>
          <w:sz w:val="21"/>
          <w:szCs w:val="21"/>
          <w:highlight w:val="none"/>
          <w:u w:val="single"/>
          <w:lang w:val="zh-CN"/>
        </w:rPr>
        <w:t xml:space="preserve">苏州市吴江区人民政府松陵街道办事处</w:t>
      </w:r>
      <w:r>
        <w:rPr>
          <w:rFonts w:hint="eastAsia" w:ascii="宋体" w:hAnsi="宋体" w:eastAsia="宋体" w:cs="宋体"/>
          <w:sz w:val="21"/>
          <w:szCs w:val="21"/>
          <w:highlight w:val="none"/>
          <w:lang w:val="zh-CN"/>
        </w:rPr>
        <w:t xml:space="preserve">的委托，</w:t>
      </w:r>
      <w:r>
        <w:rPr>
          <w:rFonts w:hint="eastAsia" w:ascii="宋体" w:hAnsi="宋体" w:eastAsia="宋体" w:cs="宋体"/>
          <w:sz w:val="21"/>
          <w:szCs w:val="21"/>
          <w:highlight w:val="none"/>
          <w:u w:val="single"/>
          <w:lang w:val="zh-CN"/>
        </w:rPr>
        <w:t xml:space="preserve">苏州市天美达招投标咨询服务有限公司</w:t>
      </w:r>
      <w:r>
        <w:rPr>
          <w:rFonts w:hint="eastAsia" w:ascii="宋体" w:hAnsi="宋体" w:eastAsia="宋体" w:cs="宋体"/>
          <w:sz w:val="21"/>
          <w:szCs w:val="21"/>
          <w:highlight w:val="none"/>
          <w:lang w:val="zh-CN"/>
        </w:rPr>
        <w:t xml:space="preserve">就其</w:t>
      </w:r>
      <w:r>
        <w:rPr>
          <w:rFonts w:hint="eastAsia" w:ascii="宋体" w:hAnsi="宋体" w:eastAsia="宋体" w:cs="宋体"/>
          <w:sz w:val="21"/>
          <w:szCs w:val="21"/>
          <w:highlight w:val="none"/>
        </w:rPr>
        <w:t xml:space="preserve">所需</w:t>
      </w:r>
      <w:r>
        <w:rPr>
          <w:rFonts w:hint="eastAsia" w:ascii="宋体" w:hAnsi="宋体" w:eastAsia="宋体" w:cs="宋体"/>
          <w:sz w:val="21"/>
          <w:szCs w:val="21"/>
          <w:highlight w:val="none"/>
          <w:lang w:val="zh-CN"/>
        </w:rPr>
        <w:t xml:space="preserve">的</w:t>
      </w:r>
      <w:r>
        <w:rPr>
          <w:rFonts w:hint="eastAsia" w:ascii="宋体" w:hAnsi="宋体" w:cs="宋体"/>
          <w:sz w:val="21"/>
          <w:szCs w:val="21"/>
          <w:highlight w:val="none"/>
          <w:u w:val="single"/>
          <w:lang w:val="zh-CN"/>
        </w:rPr>
        <w:t xml:space="preserve">灭火救援器材装备采购</w:t>
      </w:r>
      <w:r>
        <w:rPr>
          <w:rFonts w:hint="eastAsia" w:ascii="宋体" w:hAnsi="宋体" w:eastAsia="宋体" w:cs="宋体"/>
          <w:sz w:val="21"/>
          <w:szCs w:val="21"/>
          <w:highlight w:val="none"/>
          <w:lang w:val="zh-CN"/>
        </w:rPr>
        <w:t xml:space="preserve">采用公开招标方式进行采购。</w:t>
      </w:r>
      <w:r>
        <w:rPr>
          <w:rFonts w:hint="eastAsia" w:ascii="宋体" w:hAnsi="宋体" w:eastAsia="宋体" w:cs="宋体"/>
          <w:color w:val="000000"/>
          <w:sz w:val="21"/>
          <w:szCs w:val="21"/>
          <w:highlight w:val="none"/>
        </w:rPr>
        <w:t xml:space="preserve">采购项目的潜在供应商应在</w:t>
      </w:r>
      <w:r>
        <w:rPr>
          <w:rFonts w:hint="eastAsia" w:ascii="宋体" w:hAnsi="宋体" w:eastAsia="宋体" w:cs="宋体"/>
          <w:sz w:val="21"/>
          <w:szCs w:val="21"/>
          <w:highlight w:val="none"/>
          <w:lang w:eastAsia="en-US" w:bidi="ar"/>
        </w:rPr>
        <w:t xml:space="preserve">“</w:t>
      </w:r>
      <w:r>
        <w:rPr>
          <w:rFonts w:hint="eastAsia" w:ascii="宋体" w:hAnsi="宋体" w:eastAsia="宋体" w:cs="宋体"/>
          <w:sz w:val="21"/>
          <w:szCs w:val="21"/>
          <w:highlight w:val="none"/>
          <w:u w:val="single"/>
          <w:lang w:bidi="ar"/>
        </w:rPr>
        <w:t xml:space="preserve">苏采云</w:t>
      </w:r>
      <w:r>
        <w:rPr>
          <w:rFonts w:hint="eastAsia" w:ascii="宋体" w:hAnsi="宋体" w:eastAsia="宋体" w:cs="宋体"/>
          <w:sz w:val="21"/>
          <w:szCs w:val="21"/>
          <w:highlight w:val="none"/>
          <w:u w:val="single"/>
          <w:lang w:eastAsia="en-US" w:bidi="ar"/>
        </w:rPr>
        <w:t xml:space="preserve">”系统</w:t>
      </w:r>
      <w:r>
        <w:rPr>
          <w:rFonts w:hint="eastAsia" w:ascii="宋体" w:hAnsi="宋体" w:eastAsia="宋体" w:cs="宋体"/>
          <w:color w:val="000000"/>
          <w:sz w:val="21"/>
          <w:szCs w:val="21"/>
          <w:highlight w:val="none"/>
        </w:rPr>
        <w:t xml:space="preserve">获取采购文件，并于</w:t>
      </w:r>
      <w:bookmarkStart w:id="4" w:name="XMKBSJ_1"/>
      <w:r>
        <w:rPr>
          <w:rFonts w:hint="eastAsia" w:ascii="宋体" w:hAnsi="宋体" w:eastAsia="宋体" w:cs="宋体"/>
          <w:bCs/>
          <w:color w:val="000000"/>
          <w:sz w:val="21"/>
          <w:szCs w:val="21"/>
          <w:highlight w:val="none"/>
          <w:u w:val="single"/>
        </w:rPr>
        <w:t xml:space="preserve">202</w:t>
      </w:r>
      <w:r>
        <w:rPr>
          <w:rFonts w:hint="eastAsia" w:ascii="宋体" w:hAnsi="宋体" w:cs="宋体"/>
          <w:bCs/>
          <w:color w:val="000000"/>
          <w:sz w:val="21"/>
          <w:szCs w:val="21"/>
          <w:highlight w:val="none"/>
          <w:u w:val="single"/>
          <w:lang w:val="en-US" w:eastAsia="zh-CN"/>
        </w:rPr>
        <w:t xml:space="preserve">6</w:t>
      </w:r>
      <w:r>
        <w:rPr>
          <w:rFonts w:hint="eastAsia" w:ascii="宋体" w:hAnsi="宋体" w:eastAsia="宋体" w:cs="宋体"/>
          <w:bCs/>
          <w:color w:val="000000"/>
          <w:sz w:val="21"/>
          <w:szCs w:val="21"/>
          <w:highlight w:val="none"/>
          <w:u w:val="single"/>
        </w:rPr>
        <w:t xml:space="preserve">年6</w:t>
      </w:r>
      <w:r>
        <w:rPr>
          <w:rFonts w:hint="eastAsia" w:ascii="宋体" w:hAnsi="宋体" w:eastAsia="宋体" w:cs="宋体"/>
          <w:bCs/>
          <w:color w:val="000000"/>
          <w:sz w:val="21"/>
          <w:szCs w:val="21"/>
          <w:highlight w:val="none"/>
          <w:u w:val="single"/>
        </w:rPr>
        <w:t xml:space="preserve">月24</w:t>
      </w:r>
      <w:r>
        <w:rPr>
          <w:rFonts w:hint="eastAsia" w:ascii="宋体" w:hAnsi="宋体" w:eastAsia="宋体" w:cs="宋体"/>
          <w:bCs/>
          <w:color w:val="000000"/>
          <w:sz w:val="21"/>
          <w:szCs w:val="21"/>
          <w:highlight w:val="none"/>
          <w:u w:val="single"/>
        </w:rPr>
        <w:t xml:space="preserve">日</w:t>
      </w:r>
      <w:r>
        <w:rPr>
          <w:rFonts w:hint="eastAsia" w:ascii="宋体" w:hAnsi="宋体" w:eastAsia="宋体" w:cs="宋体"/>
          <w:color w:val="000000"/>
          <w:sz w:val="21"/>
          <w:szCs w:val="21"/>
          <w:highlight w:val="none"/>
          <w:u w:val="single"/>
          <w:lang w:val="en-US" w:eastAsia="zh-CN"/>
        </w:rPr>
        <w:t xml:space="preserve">13</w:t>
      </w:r>
      <w:r>
        <w:rPr>
          <w:rFonts w:hint="eastAsia" w:ascii="宋体" w:hAnsi="宋体" w:eastAsia="宋体" w:cs="宋体"/>
          <w:bCs/>
          <w:color w:val="000000"/>
          <w:sz w:val="21"/>
          <w:szCs w:val="21"/>
          <w:highlight w:val="none"/>
          <w:u w:val="single"/>
        </w:rPr>
        <w:t xml:space="preserve">点30分</w:t>
      </w:r>
      <w:bookmarkEnd w:id="4"/>
      <w:r>
        <w:rPr>
          <w:rFonts w:hint="eastAsia" w:ascii="宋体" w:hAnsi="宋体" w:eastAsia="宋体" w:cs="宋体"/>
          <w:bCs/>
          <w:color w:val="000000"/>
          <w:sz w:val="21"/>
          <w:szCs w:val="21"/>
          <w:highlight w:val="none"/>
        </w:rPr>
        <w:t xml:space="preserve">（北京时间）前提交响应文件</w:t>
      </w:r>
      <w:r>
        <w:rPr>
          <w:rFonts w:hint="eastAsia" w:ascii="宋体" w:hAnsi="宋体" w:eastAsia="宋体" w:cs="宋体"/>
          <w:color w:val="000000"/>
          <w:sz w:val="21"/>
          <w:szCs w:val="21"/>
          <w:highlight w:val="none"/>
        </w:rPr>
        <w:t xml:space="preserve">。</w:t>
      </w:r>
      <w:r/>
    </w:p>
    <w:p>
      <w:pPr>
        <w:pStyle w:val="1010"/>
        <w:ind w:firstLine="480"/>
        <w:spacing w:line="360" w:lineRule="auto"/>
        <w:rPr>
          <w:rFonts w:hint="eastAsia" w:ascii="宋体" w:hAnsi="宋体" w:eastAsia="宋体" w:cs="宋体"/>
          <w:b/>
          <w:bCs w:val="0"/>
          <w:sz w:val="21"/>
          <w:szCs w:val="21"/>
          <w:highlight w:val="none"/>
          <w:u w:val="none"/>
        </w:rPr>
      </w:pPr>
      <w:r>
        <w:rPr>
          <w:rFonts w:hint="eastAsia" w:ascii="宋体" w:hAnsi="宋体" w:eastAsia="宋体" w:cs="宋体"/>
          <w:b/>
          <w:bCs w:val="0"/>
          <w:sz w:val="21"/>
          <w:szCs w:val="21"/>
          <w:highlight w:val="none"/>
          <w:u w:val="none"/>
        </w:rPr>
        <w:t xml:space="preserve">一、项目概况：</w:t>
      </w:r>
      <w:r/>
    </w:p>
    <w:p>
      <w:pPr>
        <w:pStyle w:val="1010"/>
        <w:ind w:firstLine="480"/>
        <w:spacing w:line="360" w:lineRule="auto"/>
        <w:rPr>
          <w:rFonts w:hint="eastAsia" w:ascii="宋体" w:hAnsi="宋体" w:eastAsia="宋体" w:cs="宋体"/>
          <w:sz w:val="21"/>
          <w:szCs w:val="21"/>
          <w:highlight w:val="none"/>
          <w:u w:val="none"/>
          <w:lang w:eastAsia="zh-CN"/>
        </w:rPr>
      </w:pPr>
      <w:r>
        <w:rPr>
          <w:rFonts w:hint="eastAsia" w:ascii="宋体" w:hAnsi="宋体" w:eastAsia="宋体" w:cs="宋体"/>
          <w:sz w:val="21"/>
          <w:szCs w:val="21"/>
          <w:highlight w:val="none"/>
          <w:u w:val="none"/>
          <w:lang w:val="en-US" w:eastAsia="zh-CN"/>
        </w:rPr>
        <w:t xml:space="preserve">1.</w:t>
      </w:r>
      <w:r>
        <w:rPr>
          <w:rFonts w:hint="eastAsia" w:ascii="宋体" w:hAnsi="宋体" w:eastAsia="宋体" w:cs="宋体"/>
          <w:sz w:val="21"/>
          <w:szCs w:val="21"/>
          <w:highlight w:val="none"/>
          <w:u w:val="none"/>
        </w:rPr>
        <w:t xml:space="preserve">项目编号：</w:t>
      </w:r>
      <w:r>
        <w:rPr>
          <w:rFonts w:hint="eastAsia" w:cs="宋体"/>
          <w:sz w:val="21"/>
          <w:szCs w:val="21"/>
          <w:highlight w:val="none"/>
          <w:u w:val="none"/>
          <w:lang w:eastAsia="zh-CN"/>
        </w:rPr>
        <w:t xml:space="preserve">JSZC-320509-SZST-G2026-0022</w:t>
      </w:r>
      <w:r/>
    </w:p>
    <w:p>
      <w:pPr>
        <w:pStyle w:val="1010"/>
        <w:ind w:firstLine="480"/>
        <w:spacing w:line="360" w:lineRule="auto"/>
        <w:rPr>
          <w:rFonts w:hint="eastAsia" w:ascii="宋体" w:hAnsi="宋体" w:eastAsia="宋体" w:cs="宋体"/>
          <w:sz w:val="21"/>
          <w:szCs w:val="21"/>
          <w:highlight w:val="none"/>
          <w:u w:val="none"/>
        </w:rPr>
      </w:pPr>
      <w:r>
        <w:rPr>
          <w:rFonts w:hint="eastAsia" w:ascii="宋体" w:hAnsi="宋体" w:eastAsia="宋体" w:cs="宋体"/>
          <w:sz w:val="21"/>
          <w:szCs w:val="21"/>
          <w:highlight w:val="none"/>
          <w:u w:val="none"/>
          <w:lang w:val="en-US" w:eastAsia="zh-CN"/>
        </w:rPr>
        <w:t xml:space="preserve">2.</w:t>
      </w:r>
      <w:r>
        <w:rPr>
          <w:rFonts w:hint="eastAsia" w:ascii="宋体" w:hAnsi="宋体" w:eastAsia="宋体" w:cs="宋体"/>
          <w:sz w:val="21"/>
          <w:szCs w:val="21"/>
          <w:highlight w:val="none"/>
          <w:u w:val="none"/>
        </w:rPr>
        <w:t xml:space="preserve">项目名称：</w:t>
      </w:r>
      <w:r>
        <w:rPr>
          <w:rFonts w:hint="eastAsia" w:cs="宋体"/>
          <w:sz w:val="21"/>
          <w:szCs w:val="21"/>
          <w:highlight w:val="none"/>
          <w:u w:val="none"/>
          <w:lang w:val="zh-CN"/>
        </w:rPr>
        <w:t xml:space="preserve">灭火救援器材装备采购</w:t>
      </w:r>
      <w:r/>
    </w:p>
    <w:p>
      <w:pPr>
        <w:pStyle w:val="1010"/>
        <w:ind w:firstLine="480"/>
        <w:spacing w:line="360" w:lineRule="auto"/>
        <w:rPr>
          <w:rFonts w:hint="eastAsia" w:ascii="宋体" w:hAnsi="宋体" w:eastAsia="宋体" w:cs="宋体"/>
          <w:sz w:val="21"/>
          <w:szCs w:val="21"/>
          <w:highlight w:val="none"/>
          <w:u w:val="none"/>
        </w:rPr>
      </w:pPr>
      <w:r>
        <w:rPr>
          <w:rFonts w:hint="eastAsia" w:ascii="宋体" w:hAnsi="宋体" w:eastAsia="宋体" w:cs="宋体"/>
          <w:sz w:val="21"/>
          <w:szCs w:val="21"/>
          <w:highlight w:val="none"/>
          <w:u w:val="none"/>
          <w:lang w:val="en-US" w:eastAsia="zh-CN"/>
        </w:rPr>
        <w:t xml:space="preserve">3.</w:t>
      </w:r>
      <w:r>
        <w:rPr>
          <w:rFonts w:hint="eastAsia" w:ascii="宋体" w:hAnsi="宋体" w:eastAsia="宋体" w:cs="宋体"/>
          <w:sz w:val="21"/>
          <w:szCs w:val="21"/>
          <w:highlight w:val="none"/>
          <w:u w:val="none"/>
        </w:rPr>
        <w:t xml:space="preserve">采购方式：公开招标</w:t>
      </w:r>
      <w:r/>
    </w:p>
    <w:p>
      <w:pPr>
        <w:pStyle w:val="1010"/>
        <w:ind w:firstLine="480"/>
        <w:spacing w:line="360" w:lineRule="auto"/>
        <w:rPr>
          <w:rFonts w:hint="eastAsia" w:ascii="宋体" w:hAnsi="宋体" w:eastAsia="宋体" w:cs="宋体"/>
          <w:sz w:val="21"/>
          <w:szCs w:val="21"/>
          <w:highlight w:val="none"/>
          <w:u w:val="none"/>
        </w:rPr>
      </w:pPr>
      <w:r>
        <w:rPr>
          <w:rFonts w:hint="eastAsia" w:ascii="宋体" w:hAnsi="宋体" w:eastAsia="宋体" w:cs="宋体"/>
          <w:sz w:val="21"/>
          <w:szCs w:val="21"/>
          <w:highlight w:val="none"/>
          <w:u w:val="none"/>
          <w:lang w:val="en-US" w:eastAsia="zh-CN"/>
        </w:rPr>
        <w:t xml:space="preserve">4.</w:t>
      </w:r>
      <w:r>
        <w:rPr>
          <w:rFonts w:hint="eastAsia" w:ascii="宋体" w:hAnsi="宋体" w:eastAsia="宋体" w:cs="宋体"/>
          <w:sz w:val="21"/>
          <w:szCs w:val="21"/>
          <w:highlight w:val="none"/>
          <w:u w:val="none"/>
        </w:rPr>
        <w:t xml:space="preserve">采购标的所属行业：工业</w:t>
      </w:r>
      <w:r/>
    </w:p>
    <w:p>
      <w:pPr>
        <w:pStyle w:val="1010"/>
        <w:ind w:firstLine="482"/>
        <w:keepLines w:val="0"/>
        <w:keepNext w:val="0"/>
        <w:pageBreakBefore w:val="0"/>
        <w:spacing w:line="360" w:lineRule="auto"/>
        <w:widowControl w:val="off"/>
        <w:rPr>
          <w:rFonts w:hint="eastAsia" w:ascii="宋体" w:hAnsi="宋体" w:eastAsia="宋体" w:cs="宋体"/>
          <w:sz w:val="21"/>
          <w:szCs w:val="21"/>
          <w:highlight w:val="none"/>
          <w:u w:val="none"/>
          <w:lang w:eastAsia="zh-CN"/>
        </w:rPr>
      </w:pPr>
      <w:r>
        <w:rPr>
          <w:rFonts w:hint="eastAsia" w:ascii="宋体" w:hAnsi="宋体" w:eastAsia="宋体" w:cs="宋体"/>
          <w:sz w:val="21"/>
          <w:szCs w:val="21"/>
          <w:highlight w:val="none"/>
          <w:u w:val="none"/>
          <w:lang w:val="en-US" w:eastAsia="zh-CN"/>
        </w:rPr>
        <w:t xml:space="preserve">5.</w:t>
      </w:r>
      <w:r>
        <w:rPr>
          <w:rFonts w:hint="eastAsia" w:ascii="宋体" w:hAnsi="宋体" w:eastAsia="宋体" w:cs="宋体"/>
          <w:sz w:val="21"/>
          <w:szCs w:val="21"/>
          <w:highlight w:val="none"/>
          <w:u w:val="none"/>
        </w:rPr>
        <w:t xml:space="preserve">预算金额</w:t>
      </w:r>
      <w:r>
        <w:rPr>
          <w:rFonts w:hint="eastAsia" w:cs="宋体"/>
          <w:sz w:val="21"/>
          <w:szCs w:val="21"/>
          <w:highlight w:val="none"/>
          <w:u w:val="none"/>
          <w:lang w:eastAsia="zh-CN"/>
        </w:rPr>
        <w:t xml:space="preserve">（</w:t>
      </w:r>
      <w:r>
        <w:rPr>
          <w:rFonts w:hint="eastAsia" w:cs="宋体"/>
          <w:sz w:val="21"/>
          <w:szCs w:val="21"/>
          <w:highlight w:val="none"/>
          <w:u w:val="none"/>
          <w:lang w:val="en-US" w:eastAsia="zh-CN"/>
        </w:rPr>
        <w:t xml:space="preserve">最高限价</w:t>
      </w:r>
      <w:r>
        <w:rPr>
          <w:rFonts w:hint="eastAsia" w:cs="宋体"/>
          <w:sz w:val="21"/>
          <w:szCs w:val="21"/>
          <w:highlight w:val="none"/>
          <w:u w:val="none"/>
          <w:lang w:eastAsia="zh-CN"/>
        </w:rPr>
        <w:t xml:space="preserve">）</w:t>
      </w:r>
      <w:r>
        <w:rPr>
          <w:rFonts w:hint="eastAsia" w:ascii="宋体" w:hAnsi="宋体" w:eastAsia="宋体" w:cs="宋体"/>
          <w:sz w:val="21"/>
          <w:szCs w:val="21"/>
          <w:highlight w:val="none"/>
          <w:u w:val="none"/>
        </w:rPr>
        <w:t xml:space="preserve">：</w:t>
      </w:r>
      <w:r>
        <w:rPr>
          <w:rFonts w:hint="eastAsia" w:cs="宋体"/>
          <w:sz w:val="21"/>
          <w:szCs w:val="21"/>
          <w:highlight w:val="none"/>
          <w:u w:val="none"/>
          <w:lang w:val="en-US" w:eastAsia="zh-CN"/>
        </w:rPr>
        <w:t xml:space="preserve">壹佰陆拾伍万元</w:t>
      </w:r>
      <w:r>
        <w:rPr>
          <w:rFonts w:hint="eastAsia" w:ascii="宋体" w:hAnsi="宋体" w:eastAsia="宋体" w:cs="宋体"/>
          <w:sz w:val="21"/>
          <w:szCs w:val="21"/>
          <w:highlight w:val="none"/>
          <w:u w:val="none"/>
          <w:lang w:eastAsia="zh-CN"/>
        </w:rPr>
        <w:t xml:space="preserve">整（￥</w:t>
      </w:r>
      <w:r>
        <w:rPr>
          <w:rFonts w:hint="eastAsia" w:cs="宋体"/>
          <w:sz w:val="21"/>
          <w:szCs w:val="21"/>
          <w:highlight w:val="none"/>
          <w:u w:val="none"/>
          <w:lang w:val="en-US" w:eastAsia="zh-CN"/>
        </w:rPr>
        <w:t xml:space="preserve">1650000</w:t>
      </w:r>
      <w:r>
        <w:rPr>
          <w:rFonts w:hint="eastAsia" w:ascii="宋体" w:hAnsi="宋体" w:eastAsia="宋体" w:cs="宋体"/>
          <w:sz w:val="21"/>
          <w:szCs w:val="21"/>
          <w:highlight w:val="none"/>
          <w:u w:val="none"/>
          <w:lang w:eastAsia="zh-CN"/>
        </w:rPr>
        <w:t xml:space="preserve">.00元）</w:t>
      </w:r>
      <w:r/>
    </w:p>
    <w:p>
      <w:pPr>
        <w:pStyle w:val="1010"/>
        <w:ind w:firstLine="480"/>
        <w:spacing w:line="360" w:lineRule="auto"/>
        <w:rPr>
          <w:rFonts w:hint="eastAsia" w:ascii="宋体" w:hAnsi="宋体" w:eastAsia="宋体" w:cs="宋体"/>
          <w:sz w:val="21"/>
          <w:szCs w:val="21"/>
          <w:highlight w:val="none"/>
          <w:u w:val="none"/>
        </w:rPr>
      </w:pPr>
      <w:r>
        <w:rPr>
          <w:rFonts w:hint="eastAsia" w:cs="宋体"/>
          <w:sz w:val="21"/>
          <w:szCs w:val="21"/>
          <w:highlight w:val="none"/>
          <w:u w:val="none"/>
          <w:lang w:val="en-US" w:eastAsia="zh-CN"/>
        </w:rPr>
        <w:t xml:space="preserve">6</w:t>
      </w:r>
      <w:r>
        <w:rPr>
          <w:rFonts w:hint="eastAsia" w:ascii="宋体" w:hAnsi="宋体" w:eastAsia="宋体" w:cs="宋体"/>
          <w:sz w:val="21"/>
          <w:szCs w:val="21"/>
          <w:highlight w:val="none"/>
          <w:u w:val="none"/>
          <w:lang w:val="en-US" w:eastAsia="zh-CN"/>
        </w:rPr>
        <w:t xml:space="preserve">.</w:t>
      </w:r>
      <w:r>
        <w:rPr>
          <w:rFonts w:hint="eastAsia" w:ascii="宋体" w:hAnsi="宋体" w:eastAsia="宋体" w:cs="宋体"/>
          <w:sz w:val="21"/>
          <w:szCs w:val="21"/>
          <w:highlight w:val="none"/>
          <w:u w:val="none"/>
        </w:rPr>
        <w:t xml:space="preserve">釆购需求：</w:t>
      </w:r>
      <w:r/>
    </w:p>
    <w:tbl>
      <w:tblPr>
        <w:tblStyle w:val="790"/>
        <w:tblW w:w="8498"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33"/>
        <w:gridCol w:w="3081"/>
        <w:gridCol w:w="1065"/>
        <w:gridCol w:w="1387"/>
        <w:gridCol w:w="2232"/>
      </w:tblGrid>
      <w:tr>
        <w:trPr>
          <w:trHeight w:val="266"/>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81"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val="false"/>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备注</w:t>
            </w:r>
            <w:r/>
          </w:p>
        </w:tc>
      </w:tr>
      <w:tr>
        <w:trPr>
          <w:trHeight w:val="266"/>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81"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多功能水枪</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shd w:val="clear" w:color="auto" w:fill="auto"/>
            <w:tcBorders>
              <w:top w:val="single" w:color="000000" w:sz="4" w:space="0"/>
              <w:left w:val="single" w:color="000000" w:sz="4" w:space="0"/>
              <w:right w:val="single" w:color="000000" w:sz="4" w:space="0"/>
            </w:tcBorders>
            <w:tcW w:w="2232" w:type="dxa"/>
            <w:vAlign w:val="center"/>
            <w:vMerge w:val="restart"/>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cs="宋体"/>
                <w:b w:val="0"/>
                <w:bCs w:val="0"/>
                <w:color w:val="auto"/>
                <w:sz w:val="21"/>
                <w:szCs w:val="21"/>
                <w:highlight w:val="none"/>
                <w:lang w:val="en-US" w:eastAsia="zh-CN"/>
              </w:rPr>
              <w:t xml:space="preserve">不接受进口产品投标</w:t>
            </w:r>
            <w:r/>
          </w:p>
        </w:tc>
      </w:tr>
      <w:tr>
        <w:trPr>
          <w:trHeight w:val="266"/>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081"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伸缩直流水枪</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left w:val="single" w:color="000000" w:sz="4" w:space="0"/>
              <w:right w:val="single" w:color="000000" w:sz="4" w:space="0"/>
            </w:tcBorders>
            <w:tcW w:w="2232" w:type="dxa"/>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276"/>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081"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测压水枪</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shd w:val="clear" w:color="auto" w:fill="auto"/>
            <w:tcBorders>
              <w:left w:val="single" w:color="000000" w:sz="4" w:space="0"/>
              <w:right w:val="single" w:color="000000" w:sz="4" w:space="0"/>
            </w:tcBorders>
            <w:tcW w:w="2232" w:type="dxa"/>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276"/>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081"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新能源汽车冷却装置</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left w:val="single" w:color="000000" w:sz="4" w:space="0"/>
              <w:right w:val="single" w:color="000000" w:sz="4" w:space="0"/>
            </w:tcBorders>
            <w:tcW w:w="2232" w:type="dxa"/>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276"/>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081"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65卡转50母转换接口</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shd w:val="clear" w:color="auto" w:fill="auto"/>
            <w:tcBorders>
              <w:left w:val="single" w:color="000000" w:sz="4" w:space="0"/>
              <w:right w:val="single" w:color="000000" w:sz="4" w:space="0"/>
            </w:tcBorders>
            <w:tcW w:w="2232" w:type="dxa"/>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276"/>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081"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20型65mm超轻水带（白色）</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盘</w:t>
            </w:r>
            <w:r/>
          </w:p>
        </w:tc>
        <w:tc>
          <w:tcPr>
            <w:shd w:val="clear" w:color="auto" w:fill="auto"/>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p>
        </w:tc>
        <w:tc>
          <w:tcPr>
            <w:shd w:val="clear" w:color="auto" w:fill="auto"/>
            <w:tcBorders>
              <w:left w:val="single" w:color="000000" w:sz="4" w:space="0"/>
              <w:right w:val="single" w:color="000000" w:sz="4" w:space="0"/>
            </w:tcBorders>
            <w:tcW w:w="2232" w:type="dxa"/>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276"/>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081"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20型50mm水带 （蓝色）</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盘</w:t>
            </w:r>
            <w:r/>
          </w:p>
        </w:tc>
        <w:tc>
          <w:tcPr>
            <w:shd w:val="clear" w:color="auto" w:fill="auto"/>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p>
        </w:tc>
        <w:tc>
          <w:tcPr>
            <w:shd w:val="clear" w:color="auto" w:fill="auto"/>
            <w:tcBorders>
              <w:left w:val="single" w:color="000000" w:sz="4" w:space="0"/>
              <w:right w:val="single" w:color="000000" w:sz="4" w:space="0"/>
            </w:tcBorders>
            <w:tcW w:w="2232" w:type="dxa"/>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276"/>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081" w:type="dxa"/>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jc w:val="center"/>
              <w:keepLines w:val="0"/>
              <w:keepNext w:val="0"/>
              <w:spacing w:line="240" w:lineRule="auto"/>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Borders>
              <w:left w:val="single" w:color="000000" w:sz="4" w:space="0"/>
              <w:bottom w:val="single" w:color="000000" w:sz="4" w:space="0"/>
              <w:right w:val="single" w:color="000000" w:sz="4" w:space="0"/>
            </w:tcBorders>
            <w:tcW w:w="2232" w:type="dxa"/>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bl>
    <w:p>
      <w:pPr>
        <w:pStyle w:val="1010"/>
        <w:ind w:firstLine="480"/>
        <w:spacing w:line="360" w:lineRule="auto"/>
        <w:rPr>
          <w:rFonts w:hint="eastAsia" w:ascii="宋体" w:hAnsi="宋体" w:eastAsia="宋体" w:cs="宋体"/>
          <w:b w:val="0"/>
          <w:bCs/>
          <w:sz w:val="21"/>
          <w:szCs w:val="21"/>
          <w:highlight w:val="none"/>
          <w:u w:val="none"/>
        </w:rPr>
      </w:pPr>
      <w:r>
        <w:rPr>
          <w:rFonts w:hint="eastAsia" w:cs="宋体"/>
          <w:b w:val="0"/>
          <w:bCs/>
          <w:sz w:val="21"/>
          <w:szCs w:val="21"/>
          <w:highlight w:val="none"/>
          <w:u w:val="none"/>
          <w:lang w:val="en-US" w:eastAsia="zh-CN"/>
        </w:rPr>
        <w:t xml:space="preserve">7</w:t>
      </w:r>
      <w:r>
        <w:rPr>
          <w:rFonts w:hint="eastAsia" w:ascii="宋体" w:hAnsi="宋体" w:eastAsia="宋体" w:cs="宋体"/>
          <w:b w:val="0"/>
          <w:bCs/>
          <w:sz w:val="21"/>
          <w:szCs w:val="21"/>
          <w:highlight w:val="none"/>
          <w:u w:val="none"/>
          <w:lang w:val="en-US" w:eastAsia="zh-CN"/>
        </w:rPr>
        <w:t xml:space="preserve">.</w:t>
      </w:r>
      <w:r>
        <w:rPr>
          <w:rFonts w:hint="eastAsia" w:ascii="宋体" w:hAnsi="宋体" w:eastAsia="宋体" w:cs="宋体"/>
          <w:b w:val="0"/>
          <w:bCs/>
          <w:sz w:val="21"/>
          <w:szCs w:val="21"/>
          <w:highlight w:val="none"/>
          <w:u w:val="none"/>
        </w:rPr>
        <w:t xml:space="preserve">合同履行期限：</w:t>
      </w:r>
      <w:r>
        <w:rPr>
          <w:rFonts w:hint="eastAsia" w:cs="宋体"/>
          <w:b w:val="0"/>
          <w:bCs/>
          <w:sz w:val="21"/>
          <w:szCs w:val="21"/>
          <w:highlight w:val="none"/>
          <w:u w:val="none"/>
          <w:lang w:val="en-US" w:eastAsia="zh-CN"/>
        </w:rPr>
        <w:t xml:space="preserve">自合同签订生效后45天内完成全部采购内容的供货安装调试并交付正常使用；消防设备质保2年，免费保修期为自货物验收合格之日起算。</w:t>
      </w:r>
      <w:r/>
    </w:p>
    <w:p>
      <w:pPr>
        <w:pStyle w:val="793"/>
        <w:ind w:left="0" w:firstLine="420"/>
        <w:spacing w:line="360" w:lineRule="auto"/>
        <w:rPr>
          <w:rFonts w:hint="eastAsia" w:ascii="宋体" w:hAnsi="宋体"/>
          <w:b/>
          <w:bCs/>
          <w:sz w:val="21"/>
          <w:szCs w:val="21"/>
          <w:highlight w:val="none"/>
          <w:lang w:val="en-US" w:eastAsia="zh-CN"/>
        </w:rPr>
      </w:pPr>
      <w:r>
        <w:rPr>
          <w:rFonts w:hint="eastAsia" w:ascii="宋体" w:hAnsi="宋体"/>
          <w:b/>
          <w:bCs/>
          <w:sz w:val="21"/>
          <w:szCs w:val="21"/>
          <w:highlight w:val="none"/>
          <w:lang w:val="en-US" w:eastAsia="zh-CN"/>
        </w:rPr>
        <w:t xml:space="preserve">二、申请人的资格要求：</w:t>
      </w:r>
      <w:r/>
    </w:p>
    <w:p>
      <w:pPr>
        <w:pStyle w:val="793"/>
        <w:ind w:left="0" w:firstLine="420"/>
        <w:spacing w:line="360" w:lineRule="auto"/>
        <w:rPr>
          <w:rFonts w:hint="eastAsia" w:ascii="宋体" w:hAnsi="宋体"/>
          <w:sz w:val="21"/>
          <w:szCs w:val="21"/>
          <w:highlight w:val="none"/>
          <w:lang w:val="en-US" w:eastAsia="zh-CN"/>
        </w:rPr>
      </w:pPr>
      <w:r>
        <w:rPr>
          <w:rFonts w:hint="eastAsia" w:ascii="宋体" w:hAnsi="宋体"/>
          <w:sz w:val="21"/>
          <w:szCs w:val="21"/>
          <w:highlight w:val="none"/>
          <w:lang w:val="en-US" w:eastAsia="zh-CN"/>
        </w:rPr>
        <w:t xml:space="preserve">1.满足《中华人民共和国政府采购法》第二十二条规定；</w:t>
      </w:r>
      <w:r/>
    </w:p>
    <w:p>
      <w:pPr>
        <w:pStyle w:val="793"/>
        <w:ind w:left="0" w:firstLine="420"/>
        <w:spacing w:line="360" w:lineRule="auto"/>
        <w:rPr>
          <w:rFonts w:hint="eastAsia" w:ascii="宋体" w:hAnsi="宋体"/>
          <w:sz w:val="21"/>
          <w:szCs w:val="21"/>
          <w:highlight w:val="none"/>
          <w:lang w:val="en-US" w:eastAsia="zh-CN"/>
        </w:rPr>
      </w:pPr>
      <w:r>
        <w:rPr>
          <w:rFonts w:hint="eastAsia" w:ascii="宋体" w:hAnsi="宋体"/>
          <w:sz w:val="21"/>
          <w:szCs w:val="21"/>
          <w:highlight w:val="none"/>
          <w:lang w:val="en-US" w:eastAsia="zh-CN"/>
        </w:rPr>
        <w:t xml:space="preserve">（1）具有独立承担民事责任的能力；</w:t>
      </w:r>
      <w:r/>
    </w:p>
    <w:p>
      <w:pPr>
        <w:pStyle w:val="793"/>
        <w:ind w:left="0" w:firstLine="420"/>
        <w:spacing w:line="360" w:lineRule="auto"/>
        <w:rPr>
          <w:rFonts w:hint="eastAsia" w:ascii="宋体" w:hAnsi="宋体"/>
          <w:sz w:val="21"/>
          <w:szCs w:val="21"/>
          <w:highlight w:val="none"/>
          <w:lang w:val="en-US" w:eastAsia="zh-CN"/>
        </w:rPr>
      </w:pPr>
      <w:r>
        <w:rPr>
          <w:rFonts w:hint="eastAsia" w:ascii="宋体" w:hAnsi="宋体"/>
          <w:sz w:val="21"/>
          <w:szCs w:val="21"/>
          <w:highlight w:val="none"/>
          <w:lang w:val="en-US" w:eastAsia="zh-CN"/>
        </w:rPr>
        <w:t xml:space="preserve">（2）具有良好的商业信誉和健全的财务会计制度；</w:t>
      </w:r>
      <w:r/>
    </w:p>
    <w:p>
      <w:pPr>
        <w:pStyle w:val="793"/>
        <w:ind w:left="0" w:firstLine="420"/>
        <w:spacing w:line="360" w:lineRule="auto"/>
        <w:rPr>
          <w:rFonts w:hint="eastAsia" w:ascii="宋体" w:hAnsi="宋体"/>
          <w:sz w:val="21"/>
          <w:szCs w:val="21"/>
          <w:highlight w:val="none"/>
          <w:lang w:val="en-US" w:eastAsia="zh-CN"/>
        </w:rPr>
      </w:pPr>
      <w:r>
        <w:rPr>
          <w:rFonts w:hint="eastAsia" w:ascii="宋体" w:hAnsi="宋体"/>
          <w:sz w:val="21"/>
          <w:szCs w:val="21"/>
          <w:highlight w:val="none"/>
          <w:lang w:val="en-US" w:eastAsia="zh-CN"/>
        </w:rPr>
        <w:t xml:space="preserve">（3）具有履行合同所必需的设备和专业技术能力；</w:t>
      </w:r>
      <w:r/>
    </w:p>
    <w:p>
      <w:pPr>
        <w:pStyle w:val="793"/>
        <w:ind w:left="0" w:firstLine="420"/>
        <w:spacing w:line="360" w:lineRule="auto"/>
        <w:rPr>
          <w:rFonts w:hint="eastAsia" w:ascii="宋体" w:hAnsi="宋体"/>
          <w:sz w:val="21"/>
          <w:szCs w:val="21"/>
          <w:highlight w:val="none"/>
          <w:lang w:val="en-US" w:eastAsia="zh-CN"/>
        </w:rPr>
      </w:pPr>
      <w:r>
        <w:rPr>
          <w:rFonts w:hint="eastAsia" w:ascii="宋体" w:hAnsi="宋体"/>
          <w:sz w:val="21"/>
          <w:szCs w:val="21"/>
          <w:highlight w:val="none"/>
          <w:lang w:val="en-US" w:eastAsia="zh-CN"/>
        </w:rPr>
        <w:t xml:space="preserve">（4）有依法缴纳税收和社会保障资金的良好记录；</w:t>
      </w:r>
      <w:r/>
    </w:p>
    <w:p>
      <w:pPr>
        <w:pStyle w:val="793"/>
        <w:ind w:left="0" w:firstLine="420"/>
        <w:spacing w:line="360" w:lineRule="auto"/>
        <w:rPr>
          <w:rFonts w:hint="eastAsia" w:ascii="宋体" w:hAnsi="宋体"/>
          <w:sz w:val="21"/>
          <w:szCs w:val="21"/>
          <w:highlight w:val="none"/>
          <w:lang w:val="en-US" w:eastAsia="zh-CN"/>
        </w:rPr>
      </w:pPr>
      <w:r>
        <w:rPr>
          <w:rFonts w:hint="eastAsia" w:ascii="宋体" w:hAnsi="宋体"/>
          <w:sz w:val="21"/>
          <w:szCs w:val="21"/>
          <w:highlight w:val="none"/>
          <w:lang w:val="en-US" w:eastAsia="zh-CN"/>
        </w:rPr>
        <w:t xml:space="preserve">（5）参加政府采购活动前三年内，在经营活动中没有重大违法记录；</w:t>
      </w:r>
      <w:r/>
    </w:p>
    <w:p>
      <w:pPr>
        <w:pStyle w:val="793"/>
        <w:ind w:left="0" w:firstLine="420"/>
        <w:spacing w:line="360" w:lineRule="auto"/>
        <w:rPr>
          <w:rFonts w:hint="eastAsia" w:ascii="宋体" w:hAnsi="宋体"/>
          <w:sz w:val="21"/>
          <w:szCs w:val="21"/>
          <w:highlight w:val="none"/>
          <w:lang w:val="en-US" w:eastAsia="zh-CN"/>
        </w:rPr>
      </w:pPr>
      <w:r>
        <w:rPr>
          <w:rFonts w:hint="eastAsia" w:ascii="宋体" w:hAnsi="宋体"/>
          <w:sz w:val="21"/>
          <w:szCs w:val="21"/>
          <w:highlight w:val="none"/>
          <w:lang w:val="en-US" w:eastAsia="zh-CN"/>
        </w:rPr>
        <w:t xml:space="preserve">（6）法律、行政法规规定的其他条件。</w:t>
      </w:r>
      <w:r/>
    </w:p>
    <w:p>
      <w:pPr>
        <w:pStyle w:val="793"/>
        <w:ind w:left="0" w:firstLine="420"/>
        <w:spacing w:line="360" w:lineRule="auto"/>
        <w:rPr>
          <w:rFonts w:hint="eastAsia" w:ascii="宋体" w:hAnsi="宋体"/>
          <w:sz w:val="21"/>
          <w:szCs w:val="21"/>
          <w:highlight w:val="none"/>
          <w:lang w:val="en-US" w:eastAsia="zh-CN"/>
        </w:rPr>
      </w:pPr>
      <w:r/>
      <w:bookmarkStart w:id="5" w:name="_Toc28359004"/>
      <w:r/>
      <w:bookmarkStart w:id="6" w:name="_Toc28359081"/>
      <w:r>
        <w:rPr>
          <w:rFonts w:hint="eastAsia" w:ascii="宋体" w:hAnsi="宋体"/>
          <w:sz w:val="21"/>
          <w:szCs w:val="21"/>
          <w:highlight w:val="none"/>
          <w:lang w:val="en-US" w:eastAsia="zh-CN"/>
        </w:rPr>
        <w:t xml:space="preserve">2.落实政府采购政策需满足的资格要求：根据《政府采购促进中小企业发展管理办法》的相关规定，</w:t>
      </w:r>
      <w:r>
        <w:rPr>
          <w:rFonts w:hint="eastAsia" w:ascii="宋体" w:hAnsi="宋体"/>
          <w:b/>
          <w:bCs/>
          <w:sz w:val="21"/>
          <w:szCs w:val="21"/>
          <w:highlight w:val="none"/>
          <w:lang w:val="en-US" w:eastAsia="zh-CN"/>
        </w:rPr>
        <w:t xml:space="preserve">本项目专门面向中小企业采购。本项目所属行业为工业。</w:t>
      </w:r>
      <w:r/>
    </w:p>
    <w:p>
      <w:pPr>
        <w:pStyle w:val="793"/>
        <w:ind w:left="0" w:firstLine="420"/>
        <w:spacing w:line="360" w:lineRule="auto"/>
        <w:rPr>
          <w:rFonts w:hint="eastAsia" w:ascii="宋体" w:hAnsi="宋体"/>
          <w:sz w:val="21"/>
          <w:szCs w:val="21"/>
          <w:highlight w:val="none"/>
          <w:lang w:val="en-US" w:eastAsia="zh-CN"/>
        </w:rPr>
      </w:pPr>
      <w:r>
        <w:rPr>
          <w:rFonts w:hint="eastAsia" w:ascii="宋体" w:hAnsi="宋体"/>
          <w:sz w:val="21"/>
          <w:szCs w:val="21"/>
          <w:highlight w:val="none"/>
          <w:lang w:val="en-US" w:eastAsia="zh-CN"/>
        </w:rPr>
        <w:t xml:space="preserve">3.未被列入失信被执行人、重大税收违法案件当事人名单、政府采购严重失信行为记录名单。</w:t>
      </w:r>
      <w:r/>
    </w:p>
    <w:p>
      <w:pPr>
        <w:pStyle w:val="793"/>
        <w:ind w:left="0" w:firstLine="420"/>
        <w:spacing w:line="360" w:lineRule="auto"/>
        <w:rPr>
          <w:rFonts w:hint="eastAsia" w:ascii="宋体" w:hAnsi="宋体"/>
          <w:sz w:val="21"/>
          <w:szCs w:val="21"/>
          <w:highlight w:val="none"/>
          <w:lang w:val="en-US" w:eastAsia="zh-CN"/>
        </w:rPr>
      </w:pPr>
      <w:r>
        <w:rPr>
          <w:rFonts w:hint="eastAsia" w:ascii="宋体" w:hAnsi="宋体"/>
          <w:sz w:val="21"/>
          <w:szCs w:val="21"/>
          <w:highlight w:val="none"/>
          <w:lang w:val="en-US" w:eastAsia="zh-CN"/>
        </w:rPr>
        <w:t xml:space="preserve">4.单位负责人为同一人或者存在直接控股、管理关系的不同供应商（包含法定代表人为同一个人的两个及两个以上法人，母公司、全资子公司及其控股公司），不得参加同一合同项下的政府采购活动。</w:t>
      </w:r>
      <w:r/>
    </w:p>
    <w:p>
      <w:pPr>
        <w:pStyle w:val="793"/>
        <w:ind w:left="0" w:firstLine="420"/>
        <w:spacing w:line="360" w:lineRule="auto"/>
        <w:rPr>
          <w:rFonts w:hint="eastAsia" w:ascii="宋体" w:hAnsi="宋体"/>
          <w:sz w:val="21"/>
          <w:szCs w:val="21"/>
          <w:highlight w:val="none"/>
          <w:lang w:val="en-US" w:eastAsia="zh-CN"/>
        </w:rPr>
      </w:pPr>
      <w:r>
        <w:rPr>
          <w:rFonts w:hint="eastAsia" w:ascii="宋体" w:hAnsi="宋体"/>
          <w:sz w:val="21"/>
          <w:szCs w:val="21"/>
          <w:highlight w:val="none"/>
          <w:lang w:val="en-US" w:eastAsia="zh-CN"/>
        </w:rPr>
        <w:t xml:space="preserve">5.为采购项目提供整体设计、规范编制或者项目管理、监理、检测等服务的供应商，不得再参加该采购项目的其他采购活动。</w:t>
      </w:r>
      <w:r/>
    </w:p>
    <w:p>
      <w:pPr>
        <w:pStyle w:val="793"/>
        <w:ind w:left="0" w:firstLine="420"/>
        <w:spacing w:line="360" w:lineRule="auto"/>
        <w:rPr>
          <w:rFonts w:hint="eastAsia" w:ascii="宋体" w:hAnsi="宋体"/>
          <w:sz w:val="21"/>
          <w:szCs w:val="21"/>
          <w:highlight w:val="none"/>
          <w:lang w:val="en-US" w:eastAsia="zh-CN"/>
        </w:rPr>
      </w:pPr>
      <w:r>
        <w:rPr>
          <w:rFonts w:hint="eastAsia" w:ascii="宋体" w:hAnsi="宋体"/>
          <w:sz w:val="21"/>
          <w:szCs w:val="21"/>
          <w:highlight w:val="none"/>
          <w:lang w:val="en-US" w:eastAsia="zh-CN"/>
        </w:rPr>
        <w:t xml:space="preserve">6.本项目的特定资格要求：无。</w:t>
      </w:r>
      <w:r/>
    </w:p>
    <w:p>
      <w:pPr>
        <w:pStyle w:val="793"/>
        <w:ind w:left="0" w:firstLine="420"/>
        <w:spacing w:line="360" w:lineRule="auto"/>
        <w:rPr>
          <w:rFonts w:hint="eastAsia" w:ascii="宋体" w:hAnsi="宋体"/>
          <w:b/>
          <w:bCs/>
          <w:sz w:val="21"/>
          <w:szCs w:val="21"/>
          <w:highlight w:val="none"/>
          <w:lang w:val="en-US" w:eastAsia="zh-CN"/>
        </w:rPr>
      </w:pPr>
      <w:r/>
      <w:bookmarkStart w:id="7" w:name="_Toc35393792"/>
      <w:r/>
      <w:bookmarkStart w:id="8" w:name="_Toc35393623"/>
      <w:r>
        <w:rPr>
          <w:rFonts w:hint="eastAsia" w:ascii="宋体" w:hAnsi="宋体"/>
          <w:b/>
          <w:bCs/>
          <w:sz w:val="21"/>
          <w:szCs w:val="21"/>
          <w:highlight w:val="none"/>
          <w:lang w:val="en-US" w:eastAsia="zh-CN"/>
        </w:rPr>
        <w:t xml:space="preserve">三、</w:t>
      </w:r>
      <w:bookmarkEnd w:id="5"/>
      <w:r/>
      <w:bookmarkEnd w:id="6"/>
      <w:r/>
      <w:bookmarkEnd w:id="7"/>
      <w:r/>
      <w:bookmarkEnd w:id="8"/>
      <w:r>
        <w:rPr>
          <w:rFonts w:hint="eastAsia" w:ascii="宋体" w:hAnsi="宋体"/>
          <w:b/>
          <w:bCs/>
          <w:sz w:val="21"/>
          <w:szCs w:val="21"/>
          <w:highlight w:val="none"/>
          <w:lang w:val="en-US" w:eastAsia="zh-CN"/>
        </w:rPr>
        <w:t xml:space="preserve">招标文件的获取</w:t>
      </w:r>
      <w:r/>
    </w:p>
    <w:p>
      <w:pPr>
        <w:pStyle w:val="793"/>
        <w:ind w:left="0" w:firstLine="420"/>
        <w:spacing w:line="360" w:lineRule="auto"/>
        <w:rPr>
          <w:rFonts w:hint="eastAsia" w:ascii="宋体" w:hAnsi="宋体"/>
          <w:sz w:val="21"/>
          <w:szCs w:val="21"/>
          <w:highlight w:val="none"/>
          <w:lang w:val="en-US" w:eastAsia="zh-CN"/>
        </w:rPr>
      </w:pPr>
      <w:r/>
      <w:bookmarkStart w:id="9" w:name="_Toc28359082"/>
      <w:r/>
      <w:bookmarkStart w:id="10" w:name="_Toc28359005"/>
      <w:r/>
      <w:bookmarkStart w:id="11" w:name="_Toc35393793"/>
      <w:r/>
      <w:bookmarkStart w:id="12" w:name="_Toc35393624"/>
      <w:r>
        <w:rPr>
          <w:rFonts w:hint="eastAsia" w:ascii="宋体" w:hAnsi="宋体"/>
          <w:sz w:val="21"/>
          <w:szCs w:val="21"/>
          <w:highlight w:val="none"/>
          <w:lang w:val="en-US" w:eastAsia="zh-CN"/>
        </w:rPr>
        <w:t xml:space="preserve">1.时间：自公告发布之日起5个工作日</w:t>
      </w:r>
      <w:r/>
    </w:p>
    <w:p>
      <w:pPr>
        <w:pStyle w:val="793"/>
        <w:ind w:left="0" w:firstLine="420"/>
        <w:spacing w:line="360" w:lineRule="auto"/>
        <w:rPr>
          <w:rFonts w:hint="eastAsia" w:ascii="宋体" w:hAnsi="宋体"/>
          <w:sz w:val="21"/>
          <w:szCs w:val="21"/>
          <w:highlight w:val="none"/>
          <w:lang w:val="en-US" w:eastAsia="zh-CN"/>
        </w:rPr>
      </w:pPr>
      <w:r>
        <w:rPr>
          <w:rFonts w:hint="eastAsia" w:ascii="宋体" w:hAnsi="宋体"/>
          <w:sz w:val="21"/>
          <w:szCs w:val="21"/>
          <w:highlight w:val="none"/>
          <w:lang w:val="en-US" w:eastAsia="zh-CN"/>
        </w:rPr>
        <w:t xml:space="preserve">2.地点：苏采云系统自行下载</w:t>
      </w:r>
      <w:r/>
    </w:p>
    <w:p>
      <w:pPr>
        <w:pStyle w:val="793"/>
        <w:ind w:left="0" w:firstLine="420"/>
        <w:spacing w:line="360" w:lineRule="auto"/>
        <w:rPr>
          <w:rFonts w:hint="eastAsia" w:ascii="宋体" w:hAnsi="宋体"/>
          <w:sz w:val="21"/>
          <w:szCs w:val="21"/>
          <w:highlight w:val="none"/>
          <w:lang w:val="en-US" w:eastAsia="zh-CN"/>
        </w:rPr>
      </w:pPr>
      <w:r>
        <w:rPr>
          <w:rFonts w:hint="eastAsia" w:ascii="宋体" w:hAnsi="宋体"/>
          <w:sz w:val="21"/>
          <w:szCs w:val="21"/>
          <w:highlight w:val="none"/>
          <w:lang w:val="en-US" w:eastAsia="zh-CN"/>
        </w:rPr>
        <w:t xml:space="preserve">3.方式：</w:t>
      </w:r>
      <w:r/>
    </w:p>
    <w:p>
      <w:pPr>
        <w:pStyle w:val="793"/>
        <w:ind w:left="0" w:firstLine="420"/>
        <w:spacing w:line="360" w:lineRule="auto"/>
        <w:rPr>
          <w:rFonts w:hint="eastAsia" w:ascii="宋体" w:hAnsi="宋体"/>
          <w:sz w:val="21"/>
          <w:szCs w:val="21"/>
          <w:highlight w:val="none"/>
          <w:lang w:val="en-US" w:eastAsia="zh-CN"/>
        </w:rPr>
      </w:pPr>
      <w:r>
        <w:rPr>
          <w:rFonts w:hint="eastAsia" w:ascii="宋体" w:hAnsi="宋体"/>
          <w:sz w:val="21"/>
          <w:szCs w:val="21"/>
          <w:highlight w:val="none"/>
          <w:lang w:val="en-US" w:eastAsia="zh-CN"/>
        </w:rPr>
        <w:t xml:space="preserve">（1）CA证书办理</w:t>
      </w:r>
      <w:r/>
    </w:p>
    <w:p>
      <w:pPr>
        <w:pStyle w:val="793"/>
        <w:ind w:left="0" w:firstLine="420"/>
        <w:spacing w:line="360" w:lineRule="auto"/>
        <w:rPr>
          <w:rFonts w:hint="eastAsia" w:ascii="宋体" w:hAnsi="宋体"/>
          <w:sz w:val="21"/>
          <w:szCs w:val="21"/>
          <w:highlight w:val="none"/>
          <w:lang w:val="en-US" w:eastAsia="zh-CN"/>
        </w:rPr>
      </w:pPr>
      <w:r>
        <w:rPr>
          <w:rFonts w:hint="eastAsia" w:ascii="宋体" w:hAnsi="宋体"/>
          <w:sz w:val="21"/>
          <w:szCs w:val="21"/>
          <w:highlight w:val="none"/>
          <w:lang w:val="en-US" w:eastAsia="zh-CN"/>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-65737699。</w:t>
      </w:r>
      <w:r/>
    </w:p>
    <w:p>
      <w:pPr>
        <w:pStyle w:val="793"/>
        <w:ind w:left="0" w:firstLine="420"/>
        <w:spacing w:line="360" w:lineRule="auto"/>
        <w:rPr>
          <w:rFonts w:hint="eastAsia" w:ascii="宋体" w:hAnsi="宋体"/>
          <w:sz w:val="21"/>
          <w:szCs w:val="21"/>
          <w:highlight w:val="none"/>
          <w:lang w:val="en-US" w:eastAsia="zh-CN"/>
        </w:rPr>
      </w:pPr>
      <w:r>
        <w:rPr>
          <w:rFonts w:hint="eastAsia" w:ascii="宋体" w:hAnsi="宋体"/>
          <w:sz w:val="21"/>
          <w:szCs w:val="21"/>
          <w:highlight w:val="none"/>
          <w:lang w:val="en-US" w:eastAsia="zh-CN"/>
        </w:rPr>
        <w:t xml:space="preserve">（2）参与采购活动</w:t>
      </w:r>
      <w:r/>
    </w:p>
    <w:p>
      <w:pPr>
        <w:pStyle w:val="793"/>
        <w:ind w:left="0" w:firstLine="420"/>
        <w:spacing w:line="360" w:lineRule="auto"/>
        <w:rPr>
          <w:rFonts w:hint="eastAsia" w:ascii="宋体" w:hAnsi="宋体"/>
          <w:sz w:val="21"/>
          <w:szCs w:val="21"/>
          <w:highlight w:val="none"/>
          <w:lang w:val="en-US" w:eastAsia="zh-CN"/>
        </w:rPr>
      </w:pPr>
      <w:r>
        <w:rPr>
          <w:rFonts w:hint="eastAsia" w:ascii="宋体" w:hAnsi="宋体"/>
          <w:sz w:val="21"/>
          <w:szCs w:val="21"/>
          <w:highlight w:val="none"/>
          <w:lang w:val="en-US" w:eastAsia="zh-CN"/>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793"/>
        <w:ind w:left="0" w:firstLine="420"/>
        <w:spacing w:line="360" w:lineRule="auto"/>
        <w:rPr>
          <w:rFonts w:hint="eastAsia" w:ascii="宋体" w:hAnsi="宋体"/>
          <w:sz w:val="21"/>
          <w:szCs w:val="21"/>
          <w:highlight w:val="none"/>
          <w:lang w:val="en-US" w:eastAsia="zh-CN"/>
        </w:rPr>
      </w:pPr>
      <w:r>
        <w:rPr>
          <w:rFonts w:hint="eastAsia" w:ascii="宋体" w:hAnsi="宋体"/>
          <w:sz w:val="21"/>
          <w:szCs w:val="21"/>
          <w:highlight w:val="none"/>
          <w:lang w:val="en-US" w:eastAsia="zh-CN"/>
        </w:rPr>
        <w:t xml:space="preserve">（3）电子投标准备</w:t>
      </w:r>
      <w:r/>
    </w:p>
    <w:p>
      <w:pPr>
        <w:pStyle w:val="793"/>
        <w:ind w:left="0" w:firstLine="420"/>
        <w:spacing w:line="360" w:lineRule="auto"/>
        <w:rPr>
          <w:rFonts w:hint="eastAsia" w:ascii="宋体" w:hAnsi="宋体"/>
          <w:sz w:val="21"/>
          <w:szCs w:val="21"/>
          <w:highlight w:val="none"/>
          <w:lang w:val="en-US" w:eastAsia="zh-CN"/>
        </w:rPr>
      </w:pPr>
      <w:r>
        <w:rPr>
          <w:rFonts w:hint="eastAsia" w:ascii="宋体" w:hAnsi="宋体"/>
          <w:sz w:val="21"/>
          <w:szCs w:val="21"/>
          <w:highlight w:val="none"/>
          <w:lang w:val="en-US" w:eastAsia="zh-CN"/>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pStyle w:val="793"/>
        <w:ind w:left="0" w:firstLine="420"/>
        <w:spacing w:line="360" w:lineRule="auto"/>
        <w:rPr>
          <w:rFonts w:hint="eastAsia" w:ascii="宋体" w:hAnsi="宋体"/>
          <w:sz w:val="21"/>
          <w:szCs w:val="21"/>
          <w:highlight w:val="none"/>
          <w:lang w:val="en-US" w:eastAsia="zh-CN"/>
        </w:rPr>
      </w:pPr>
      <w:r>
        <w:rPr>
          <w:rFonts w:hint="eastAsia" w:ascii="宋体" w:hAnsi="宋体"/>
          <w:sz w:val="21"/>
          <w:szCs w:val="21"/>
          <w:highlight w:val="none"/>
          <w:lang w:val="en-US" w:eastAsia="zh-CN"/>
        </w:rPr>
        <w:t xml:space="preserve">在系统操作过程中如有疑问，请按以下方式联系：</w:t>
      </w:r>
      <w:r/>
    </w:p>
    <w:p>
      <w:pPr>
        <w:pStyle w:val="793"/>
        <w:ind w:left="0" w:firstLine="420"/>
        <w:spacing w:line="360" w:lineRule="auto"/>
        <w:rPr>
          <w:rFonts w:hint="eastAsia" w:ascii="宋体" w:hAnsi="宋体"/>
          <w:sz w:val="21"/>
          <w:szCs w:val="21"/>
          <w:highlight w:val="none"/>
          <w:lang w:val="en-US" w:eastAsia="zh-CN"/>
        </w:rPr>
      </w:pPr>
      <w:r>
        <w:rPr>
          <w:rFonts w:hint="eastAsia" w:ascii="宋体" w:hAnsi="宋体"/>
          <w:sz w:val="21"/>
          <w:szCs w:val="21"/>
          <w:highlight w:val="none"/>
          <w:lang w:val="en-US" w:eastAsia="zh-CN"/>
        </w:rPr>
        <w:t xml:space="preserve">注册咨询：18261002950；</w:t>
      </w:r>
      <w:r/>
    </w:p>
    <w:p>
      <w:pPr>
        <w:pStyle w:val="793"/>
        <w:ind w:left="0" w:firstLine="420"/>
        <w:spacing w:line="360" w:lineRule="auto"/>
        <w:rPr>
          <w:rFonts w:hint="eastAsia" w:ascii="宋体" w:hAnsi="宋体"/>
          <w:sz w:val="21"/>
          <w:szCs w:val="21"/>
          <w:highlight w:val="none"/>
          <w:lang w:val="en-US" w:eastAsia="zh-CN"/>
        </w:rPr>
      </w:pPr>
      <w:r>
        <w:rPr>
          <w:rFonts w:hint="eastAsia" w:ascii="宋体" w:hAnsi="宋体"/>
          <w:sz w:val="21"/>
          <w:szCs w:val="21"/>
          <w:highlight w:val="none"/>
          <w:lang w:val="en-US" w:eastAsia="zh-CN"/>
        </w:rPr>
        <w:t xml:space="preserve">CA技术咨询电话：400-608-6099；</w:t>
      </w:r>
      <w:r/>
    </w:p>
    <w:p>
      <w:pPr>
        <w:pStyle w:val="793"/>
        <w:ind w:left="0" w:firstLine="420"/>
        <w:spacing w:line="360" w:lineRule="auto"/>
        <w:rPr>
          <w:rFonts w:hint="eastAsia" w:ascii="宋体" w:hAnsi="宋体"/>
          <w:sz w:val="21"/>
          <w:szCs w:val="21"/>
          <w:highlight w:val="none"/>
          <w:lang w:val="en-US" w:eastAsia="zh-CN"/>
        </w:rPr>
      </w:pPr>
      <w:r>
        <w:rPr>
          <w:rFonts w:hint="eastAsia" w:ascii="宋体" w:hAnsi="宋体"/>
          <w:sz w:val="21"/>
          <w:szCs w:val="21"/>
          <w:highlight w:val="none"/>
          <w:lang w:val="en-US" w:eastAsia="zh-CN"/>
        </w:rPr>
        <w:t xml:space="preserve">签章使用问题：025-83633811、025-83633812、15380932027、15371015030；</w:t>
      </w:r>
      <w:r/>
    </w:p>
    <w:p>
      <w:pPr>
        <w:pStyle w:val="793"/>
        <w:ind w:left="0" w:firstLine="420"/>
        <w:spacing w:line="360" w:lineRule="auto"/>
        <w:rPr>
          <w:rFonts w:hint="eastAsia" w:ascii="宋体" w:hAnsi="宋体"/>
          <w:sz w:val="21"/>
          <w:szCs w:val="21"/>
          <w:highlight w:val="none"/>
          <w:lang w:val="en-US" w:eastAsia="zh-CN"/>
        </w:rPr>
      </w:pPr>
      <w:r>
        <w:rPr>
          <w:rFonts w:hint="eastAsia" w:ascii="宋体" w:hAnsi="宋体"/>
          <w:sz w:val="21"/>
          <w:szCs w:val="21"/>
          <w:highlight w:val="none"/>
          <w:lang w:val="en-US" w:eastAsia="zh-CN"/>
        </w:rPr>
        <w:t xml:space="preserve">系统使用指导与咨询：联系电话：18261002950；QQ：3048755361、1315179389、895706745。</w:t>
      </w:r>
      <w:r/>
    </w:p>
    <w:p>
      <w:pPr>
        <w:pStyle w:val="793"/>
        <w:ind w:left="0" w:firstLine="420"/>
        <w:spacing w:line="360" w:lineRule="auto"/>
        <w:rPr>
          <w:rFonts w:hint="eastAsia" w:ascii="宋体" w:hAnsi="宋体"/>
          <w:sz w:val="21"/>
          <w:szCs w:val="21"/>
          <w:highlight w:val="none"/>
          <w:lang w:val="en-US" w:eastAsia="zh-CN"/>
        </w:rPr>
      </w:pPr>
      <w:r>
        <w:rPr>
          <w:rFonts w:hint="eastAsia" w:ascii="宋体" w:hAnsi="宋体"/>
          <w:sz w:val="21"/>
          <w:szCs w:val="21"/>
          <w:highlight w:val="none"/>
          <w:lang w:val="en-US" w:eastAsia="zh-CN"/>
        </w:rPr>
        <w:t xml:space="preserve">4.售价：免费。</w:t>
      </w:r>
      <w:r/>
    </w:p>
    <w:p>
      <w:pPr>
        <w:pStyle w:val="793"/>
        <w:ind w:left="0" w:firstLine="420"/>
        <w:spacing w:line="360" w:lineRule="auto"/>
        <w:rPr>
          <w:rFonts w:hint="eastAsia" w:ascii="宋体" w:hAnsi="宋体"/>
          <w:b/>
          <w:bCs/>
          <w:sz w:val="21"/>
          <w:szCs w:val="21"/>
          <w:highlight w:val="none"/>
          <w:lang w:val="en-US" w:eastAsia="zh-CN"/>
        </w:rPr>
      </w:pPr>
      <w:r>
        <w:rPr>
          <w:rFonts w:hint="eastAsia" w:ascii="宋体" w:hAnsi="宋体"/>
          <w:b/>
          <w:bCs/>
          <w:sz w:val="21"/>
          <w:szCs w:val="21"/>
          <w:highlight w:val="none"/>
          <w:lang w:val="en-US" w:eastAsia="zh-CN"/>
        </w:rPr>
        <w:t xml:space="preserve">四、提交电子投标文件</w:t>
      </w:r>
      <w:bookmarkEnd w:id="9"/>
      <w:r/>
      <w:bookmarkEnd w:id="10"/>
      <w:r>
        <w:rPr>
          <w:rFonts w:hint="eastAsia" w:ascii="宋体" w:hAnsi="宋体"/>
          <w:b/>
          <w:bCs/>
          <w:sz w:val="21"/>
          <w:szCs w:val="21"/>
          <w:highlight w:val="none"/>
          <w:lang w:val="en-US" w:eastAsia="zh-CN"/>
        </w:rPr>
        <w:t xml:space="preserve">截止时间、开标时间和地点</w:t>
      </w:r>
      <w:bookmarkEnd w:id="11"/>
      <w:r/>
      <w:bookmarkEnd w:id="12"/>
      <w:r/>
      <w:r/>
    </w:p>
    <w:p>
      <w:pPr>
        <w:pStyle w:val="793"/>
        <w:ind w:left="0" w:firstLine="420"/>
        <w:spacing w:line="360" w:lineRule="auto"/>
        <w:rPr>
          <w:rFonts w:hint="eastAsia" w:ascii="宋体" w:hAnsi="宋体"/>
          <w:sz w:val="21"/>
          <w:szCs w:val="21"/>
          <w:highlight w:val="none"/>
          <w:lang w:val="en-US" w:eastAsia="zh-CN"/>
        </w:rPr>
      </w:pPr>
      <w:r/>
      <w:bookmarkStart w:id="13" w:name="_Toc28359084"/>
      <w:r/>
      <w:bookmarkStart w:id="14" w:name="_Toc35393625"/>
      <w:r/>
      <w:bookmarkStart w:id="15" w:name="_Toc28359007"/>
      <w:r/>
      <w:bookmarkStart w:id="16" w:name="_Toc35393794"/>
      <w:r>
        <w:rPr>
          <w:rFonts w:hint="eastAsia" w:ascii="宋体" w:hAnsi="宋体"/>
          <w:sz w:val="21"/>
          <w:szCs w:val="21"/>
          <w:highlight w:val="none"/>
          <w:lang w:val="en-US" w:eastAsia="zh-CN"/>
        </w:rPr>
        <w:t xml:space="preserve">1.提交投标文件截止时间：2026年6月24日13：30（北京时间）； </w:t>
      </w:r>
      <w:r/>
    </w:p>
    <w:p>
      <w:pPr>
        <w:pStyle w:val="793"/>
        <w:ind w:left="0" w:firstLine="420"/>
        <w:spacing w:line="360" w:lineRule="auto"/>
        <w:rPr>
          <w:rFonts w:hint="eastAsia" w:ascii="宋体" w:hAnsi="宋体"/>
          <w:sz w:val="21"/>
          <w:szCs w:val="21"/>
          <w:highlight w:val="none"/>
          <w:lang w:val="en-US" w:eastAsia="zh-CN"/>
        </w:rPr>
      </w:pPr>
      <w:r>
        <w:rPr>
          <w:rFonts w:hint="eastAsia" w:ascii="宋体" w:hAnsi="宋体"/>
          <w:sz w:val="21"/>
          <w:szCs w:val="21"/>
          <w:highlight w:val="none"/>
          <w:lang w:val="en-US" w:eastAsia="zh-CN"/>
        </w:rPr>
        <w:t xml:space="preserve">2.开标时间：2026年6月24日13：30（北京时间）；</w:t>
      </w:r>
      <w:r/>
    </w:p>
    <w:p>
      <w:pPr>
        <w:pStyle w:val="793"/>
        <w:ind w:left="0" w:firstLine="420"/>
        <w:spacing w:line="360" w:lineRule="auto"/>
        <w:rPr>
          <w:rFonts w:hint="eastAsia" w:ascii="宋体" w:hAnsi="宋体"/>
          <w:sz w:val="21"/>
          <w:szCs w:val="21"/>
          <w:highlight w:val="none"/>
          <w:lang w:val="en-US" w:eastAsia="zh-CN"/>
        </w:rPr>
      </w:pPr>
      <w:r>
        <w:rPr>
          <w:rFonts w:hint="eastAsia" w:ascii="宋体" w:hAnsi="宋体"/>
          <w:sz w:val="21"/>
          <w:szCs w:val="21"/>
          <w:highlight w:val="none"/>
          <w:lang w:val="en-US" w:eastAsia="zh-CN"/>
        </w:rPr>
        <w:t xml:space="preserve">3.开标地点：“苏采云”系统（网址：http://jszfcg.jsczt.cn/）</w:t>
      </w:r>
      <w:r/>
    </w:p>
    <w:p>
      <w:pPr>
        <w:pStyle w:val="793"/>
        <w:ind w:left="0" w:firstLine="420"/>
        <w:spacing w:line="360" w:lineRule="auto"/>
        <w:rPr>
          <w:rFonts w:hint="eastAsia" w:ascii="宋体" w:hAnsi="宋体"/>
          <w:sz w:val="21"/>
          <w:szCs w:val="21"/>
          <w:highlight w:val="none"/>
          <w:lang w:val="en-US" w:eastAsia="zh-CN"/>
        </w:rPr>
      </w:pPr>
      <w:r>
        <w:rPr>
          <w:rFonts w:hint="eastAsia" w:ascii="宋体" w:hAnsi="宋体"/>
          <w:sz w:val="21"/>
          <w:szCs w:val="21"/>
          <w:highlight w:val="none"/>
          <w:lang w:val="en-US" w:eastAsia="zh-CN"/>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793"/>
        <w:ind w:left="0" w:firstLine="420"/>
        <w:spacing w:line="360" w:lineRule="auto"/>
        <w:rPr>
          <w:rFonts w:hint="eastAsia" w:ascii="宋体" w:hAnsi="宋体"/>
          <w:sz w:val="21"/>
          <w:szCs w:val="21"/>
          <w:highlight w:val="none"/>
          <w:lang w:val="en-US" w:eastAsia="zh-CN"/>
        </w:rPr>
      </w:pPr>
      <w:r>
        <w:rPr>
          <w:rFonts w:hint="eastAsia" w:ascii="宋体" w:hAnsi="宋体"/>
          <w:sz w:val="21"/>
          <w:szCs w:val="21"/>
          <w:highlight w:val="none"/>
          <w:lang w:val="en-US" w:eastAsia="zh-CN"/>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pStyle w:val="793"/>
        <w:ind w:left="0" w:firstLine="420"/>
        <w:spacing w:line="360" w:lineRule="auto"/>
        <w:rPr>
          <w:rFonts w:hint="eastAsia" w:ascii="宋体" w:hAnsi="宋体"/>
          <w:sz w:val="21"/>
          <w:szCs w:val="21"/>
          <w:highlight w:val="none"/>
          <w:lang w:val="en-US" w:eastAsia="zh-CN"/>
        </w:rPr>
      </w:pPr>
      <w:r>
        <w:rPr>
          <w:rFonts w:hint="eastAsia" w:ascii="宋体" w:hAnsi="宋体"/>
          <w:sz w:val="21"/>
          <w:szCs w:val="21"/>
          <w:highlight w:val="none"/>
          <w:lang w:val="en-US" w:eastAsia="zh-CN"/>
        </w:rPr>
        <w:t xml:space="preserve">请供应商确保电脑、系统及其他设备（视频输入输出设备等）无误，且开标直至项目结束始终保持系统在线状态。</w:t>
      </w:r>
      <w:r/>
    </w:p>
    <w:p>
      <w:pPr>
        <w:pStyle w:val="793"/>
        <w:ind w:left="0" w:firstLine="420"/>
        <w:spacing w:line="360" w:lineRule="auto"/>
        <w:rPr>
          <w:rFonts w:hint="eastAsia" w:ascii="宋体" w:hAnsi="宋体"/>
          <w:b/>
          <w:bCs/>
          <w:sz w:val="21"/>
          <w:szCs w:val="21"/>
          <w:highlight w:val="none"/>
          <w:lang w:val="en-US" w:eastAsia="zh-CN"/>
        </w:rPr>
      </w:pPr>
      <w:r>
        <w:rPr>
          <w:rFonts w:hint="eastAsia" w:ascii="宋体" w:hAnsi="宋体"/>
          <w:b/>
          <w:bCs/>
          <w:sz w:val="21"/>
          <w:szCs w:val="21"/>
          <w:highlight w:val="none"/>
          <w:lang w:val="en-US" w:eastAsia="zh-CN"/>
        </w:rPr>
        <w:t xml:space="preserve">五、公告期限</w:t>
      </w:r>
      <w:bookmarkEnd w:id="13"/>
      <w:r/>
      <w:bookmarkEnd w:id="14"/>
      <w:r/>
      <w:bookmarkEnd w:id="15"/>
      <w:r/>
      <w:bookmarkEnd w:id="16"/>
      <w:r/>
      <w:r/>
    </w:p>
    <w:p>
      <w:pPr>
        <w:pStyle w:val="793"/>
        <w:ind w:left="0" w:firstLine="420"/>
        <w:spacing w:line="360" w:lineRule="auto"/>
        <w:rPr>
          <w:rFonts w:hint="eastAsia" w:ascii="宋体" w:hAnsi="宋体"/>
          <w:sz w:val="21"/>
          <w:szCs w:val="21"/>
          <w:highlight w:val="none"/>
          <w:lang w:val="en-US" w:eastAsia="zh-CN"/>
        </w:rPr>
      </w:pPr>
      <w:r>
        <w:rPr>
          <w:rFonts w:hint="eastAsia" w:ascii="宋体" w:hAnsi="宋体"/>
          <w:sz w:val="21"/>
          <w:szCs w:val="21"/>
          <w:highlight w:val="none"/>
          <w:lang w:val="en-US" w:eastAsia="zh-CN"/>
        </w:rPr>
        <w:t xml:space="preserve">自本公告发布之日起5个工作日。</w:t>
      </w:r>
      <w:r/>
    </w:p>
    <w:p>
      <w:pPr>
        <w:pStyle w:val="793"/>
        <w:ind w:left="0" w:firstLine="420"/>
        <w:spacing w:line="360" w:lineRule="auto"/>
        <w:rPr>
          <w:rFonts w:hint="eastAsia" w:ascii="宋体" w:hAnsi="宋体"/>
          <w:b/>
          <w:bCs/>
          <w:sz w:val="21"/>
          <w:szCs w:val="21"/>
          <w:highlight w:val="none"/>
          <w:lang w:val="en-US" w:eastAsia="zh-CN"/>
        </w:rPr>
      </w:pPr>
      <w:r/>
      <w:bookmarkStart w:id="17" w:name="_Toc35393626"/>
      <w:r/>
      <w:bookmarkStart w:id="18" w:name="_Toc35393795"/>
      <w:r>
        <w:rPr>
          <w:rFonts w:hint="eastAsia" w:ascii="宋体" w:hAnsi="宋体"/>
          <w:b/>
          <w:bCs/>
          <w:sz w:val="21"/>
          <w:szCs w:val="21"/>
          <w:highlight w:val="none"/>
          <w:lang w:val="en-US" w:eastAsia="zh-CN"/>
        </w:rPr>
        <w:t xml:space="preserve">六、其他补充事宜</w:t>
      </w:r>
      <w:bookmarkEnd w:id="17"/>
      <w:r/>
      <w:bookmarkEnd w:id="18"/>
      <w:r/>
      <w:r/>
    </w:p>
    <w:p>
      <w:pPr>
        <w:pStyle w:val="793"/>
        <w:ind w:left="0" w:firstLine="420"/>
        <w:spacing w:line="360" w:lineRule="auto"/>
        <w:rPr>
          <w:rFonts w:hint="eastAsia" w:ascii="宋体" w:hAnsi="宋体"/>
          <w:sz w:val="21"/>
          <w:szCs w:val="21"/>
          <w:highlight w:val="none"/>
          <w:lang w:val="en-US" w:eastAsia="zh-CN"/>
        </w:rPr>
      </w:pPr>
      <w:r>
        <w:rPr>
          <w:rFonts w:hint="eastAsia" w:ascii="宋体" w:hAnsi="宋体"/>
          <w:sz w:val="21"/>
          <w:szCs w:val="21"/>
          <w:highlight w:val="none"/>
          <w:lang w:val="en-US" w:eastAsia="zh-CN"/>
        </w:rPr>
        <w:t xml:space="preserve">1.根据苏州市财政局《关于深入开展苏州市政府采购合同信用融资业务的通知》相关要求，本项目支持政府采购合同信用融资。</w:t>
      </w:r>
      <w:r/>
    </w:p>
    <w:p>
      <w:pPr>
        <w:pStyle w:val="793"/>
        <w:ind w:left="0" w:firstLine="420"/>
        <w:spacing w:line="360" w:lineRule="auto"/>
        <w:rPr>
          <w:rFonts w:hint="eastAsia" w:ascii="宋体" w:hAnsi="宋体"/>
          <w:sz w:val="21"/>
          <w:szCs w:val="21"/>
          <w:highlight w:val="none"/>
          <w:lang w:val="en-US" w:eastAsia="zh-CN"/>
        </w:rPr>
      </w:pPr>
      <w:r>
        <w:rPr>
          <w:rFonts w:hint="eastAsia" w:ascii="宋体" w:hAnsi="宋体"/>
          <w:sz w:val="21"/>
          <w:szCs w:val="21"/>
          <w:highlight w:val="none"/>
          <w:lang w:val="en-US" w:eastAsia="zh-CN"/>
        </w:rPr>
        <w:t xml:space="preserve">2.本公告有关信息将同时在苏州市政府采购网、江苏省政府采购网上发布，敬请留意。</w:t>
      </w:r>
      <w:r/>
    </w:p>
    <w:p>
      <w:pPr>
        <w:pStyle w:val="793"/>
        <w:ind w:left="0" w:firstLine="420"/>
        <w:spacing w:line="360" w:lineRule="auto"/>
        <w:rPr>
          <w:rFonts w:hint="eastAsia" w:ascii="宋体" w:hAnsi="宋体"/>
          <w:sz w:val="21"/>
          <w:szCs w:val="21"/>
          <w:highlight w:val="none"/>
          <w:lang w:val="en-US" w:eastAsia="zh-CN"/>
        </w:rPr>
      </w:pPr>
      <w:r>
        <w:rPr>
          <w:rFonts w:hint="eastAsia" w:ascii="宋体" w:hAnsi="宋体"/>
          <w:sz w:val="21"/>
          <w:szCs w:val="21"/>
          <w:highlight w:val="none"/>
          <w:lang w:val="en-US" w:eastAsia="zh-CN"/>
        </w:rPr>
        <w:t xml:space="preserve">3.苏州吴江区政府采购办公室监督电话：0512-63982393。</w:t>
      </w:r>
      <w:r/>
    </w:p>
    <w:p>
      <w:pPr>
        <w:ind w:firstLine="480"/>
        <w:spacing w:line="360" w:lineRule="auto"/>
        <w:shd w:val="clear" w:color="auto"/>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七、对本次采购提出询问，请按以下方式联系</w:t>
      </w:r>
      <w:r/>
    </w:p>
    <w:p>
      <w:pPr>
        <w:ind w:firstLine="48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1.采购人：</w:t>
      </w:r>
      <w:r>
        <w:rPr>
          <w:rFonts w:hint="eastAsia" w:ascii="宋体" w:hAnsi="宋体" w:cs="宋体"/>
          <w:sz w:val="21"/>
          <w:szCs w:val="21"/>
          <w:highlight w:val="none"/>
          <w:lang w:eastAsia="zh-CN"/>
        </w:rPr>
        <w:t xml:space="preserve">苏州市吴江区人民政府松陵街道办事处</w:t>
      </w:r>
      <w:r/>
    </w:p>
    <w:p>
      <w:pPr>
        <w:ind w:firstLine="48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联系人：</w:t>
      </w:r>
      <w:r>
        <w:rPr>
          <w:rFonts w:ascii="Arial" w:hAnsi="Arial" w:eastAsia="Arial" w:cs="Arial"/>
          <w:color w:val="000000"/>
          <w:sz w:val="21"/>
          <w:highlight w:val="none"/>
        </w:rPr>
        <w:t xml:space="preserve">杜小冬</w:t>
      </w:r>
      <w:r>
        <w:rPr>
          <w:rFonts w:hint="eastAsia" w:ascii="宋体" w:hAnsi="宋体" w:eastAsia="宋体" w:cs="宋体"/>
          <w:sz w:val="21"/>
          <w:szCs w:val="21"/>
          <w:highlight w:val="none"/>
        </w:rPr>
      </w:r>
      <w:r/>
    </w:p>
    <w:p>
      <w:pPr>
        <w:ind w:firstLine="48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联系电话：</w:t>
      </w:r>
      <w:r>
        <w:rPr>
          <w:rFonts w:hint="eastAsia" w:ascii="宋体" w:hAnsi="宋体" w:eastAsia="宋体" w:cs="宋体"/>
          <w:sz w:val="21"/>
          <w:szCs w:val="21"/>
          <w:highlight w:val="none"/>
        </w:rPr>
        <w:t xml:space="preserve">17696285503</w:t>
      </w:r>
      <w:r>
        <w:rPr>
          <w:rFonts w:hint="eastAsia" w:ascii="宋体" w:hAnsi="宋体" w:eastAsia="宋体" w:cs="宋体"/>
          <w:sz w:val="21"/>
          <w:szCs w:val="21"/>
          <w:highlight w:val="none"/>
        </w:rPr>
      </w:r>
      <w:r/>
    </w:p>
    <w:p>
      <w:pPr>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2.采购代理机构名称：苏州市天美达招投标咨询服务有限公司</w:t>
      </w:r>
      <w:r/>
    </w:p>
    <w:p>
      <w:pPr>
        <w:ind w:firstLine="48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联系人：高飞</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陈嘉晖</w:t>
      </w:r>
      <w:r/>
    </w:p>
    <w:p>
      <w:pPr>
        <w:ind w:firstLine="48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联系电话：0512-65231142</w:t>
      </w:r>
      <w:r/>
    </w:p>
    <w:p>
      <w:pPr>
        <w:ind w:right="420"/>
        <w:jc w:val="right"/>
        <w:spacing w:line="360" w:lineRule="auto"/>
        <w:tabs>
          <w:tab w:val="left" w:pos="1680" w:leader="none"/>
        </w:tabs>
        <w:rPr>
          <w:rFonts w:hint="eastAsia" w:ascii="宋体" w:hAnsi="宋体" w:eastAsia="宋体" w:cs="宋体"/>
          <w:highlight w:val="none"/>
        </w:rPr>
        <w:outlineLvl w:val="0"/>
      </w:pPr>
      <w:r>
        <w:rPr>
          <w:rFonts w:hint="eastAsia" w:ascii="宋体" w:hAnsi="宋体" w:eastAsia="宋体" w:cs="宋体"/>
          <w:szCs w:val="21"/>
          <w:highlight w:val="none"/>
        </w:rPr>
        <w:tab/>
      </w:r>
      <w:r>
        <w:rPr>
          <w:rFonts w:hint="eastAsia" w:ascii="宋体" w:hAnsi="宋体" w:eastAsia="宋体" w:cs="宋体"/>
          <w:highlight w:val="none"/>
        </w:rPr>
        <w:t xml:space="preserve">  </w:t>
      </w:r>
      <w:r/>
    </w:p>
    <w:p>
      <w:pPr>
        <w:ind w:right="420"/>
        <w:jc w:val="center"/>
        <w:spacing w:line="360" w:lineRule="auto"/>
        <w:tabs>
          <w:tab w:val="left" w:pos="1680" w:leader="none"/>
        </w:tabs>
        <w:rPr>
          <w:rFonts w:hint="eastAsia" w:ascii="宋体" w:hAnsi="宋体" w:eastAsia="宋体" w:cs="宋体"/>
          <w:b/>
          <w:sz w:val="30"/>
          <w:szCs w:val="20"/>
          <w:highlight w:val="none"/>
        </w:rPr>
        <w:outlineLvl w:val="0"/>
      </w:pPr>
      <w:r>
        <w:rPr>
          <w:rFonts w:hint="eastAsia" w:ascii="宋体" w:hAnsi="宋体" w:eastAsia="宋体" w:cs="宋体"/>
          <w:b/>
          <w:sz w:val="30"/>
          <w:szCs w:val="20"/>
          <w:highlight w:val="none"/>
        </w:rPr>
        <w:br w:type="page" w:clear="all"/>
      </w:r>
      <w:r>
        <w:rPr>
          <w:rFonts w:hint="eastAsia" w:ascii="宋体" w:hAnsi="宋体" w:eastAsia="宋体" w:cs="宋体"/>
          <w:b/>
          <w:sz w:val="30"/>
          <w:szCs w:val="20"/>
          <w:highlight w:val="none"/>
        </w:rPr>
        <w:t xml:space="preserve">第二章 投标单位须知</w:t>
      </w:r>
      <w:r/>
    </w:p>
    <w:p>
      <w:pP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zh-CN"/>
        </w:rPr>
        <w:t xml:space="preserve">一、说明和释义</w:t>
      </w:r>
      <w:r/>
    </w:p>
    <w:p>
      <w:pP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zh-CN"/>
        </w:rPr>
        <w:t xml:space="preserve">1.说明</w:t>
      </w:r>
      <w:r/>
    </w:p>
    <w:p>
      <w:pPr>
        <w:ind w:firstLine="502"/>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1.1本招标文件仅适用于苏州市天美达招投标咨询服务有限公司招标活动。</w:t>
      </w:r>
      <w:r/>
    </w:p>
    <w:p>
      <w:pPr>
        <w:ind w:firstLine="502"/>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1.2本次招标活动及因本次招标产生的合同受中国法律制约和保护。</w:t>
      </w:r>
      <w:r/>
    </w:p>
    <w:p>
      <w:pPr>
        <w:ind w:firstLine="502"/>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1.3本招标文件的解释权属于采购人或者采购代理机构。</w:t>
      </w:r>
      <w:r/>
    </w:p>
    <w:p>
      <w:pP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zh-CN"/>
        </w:rPr>
        <w:t xml:space="preserve">2</w:t>
      </w:r>
      <w:r>
        <w:rPr>
          <w:rFonts w:hint="eastAsia" w:ascii="宋体" w:hAnsi="宋体" w:eastAsia="宋体" w:cs="宋体"/>
          <w:b/>
          <w:bCs/>
          <w:sz w:val="21"/>
          <w:szCs w:val="21"/>
          <w:highlight w:val="none"/>
          <w:lang w:val="en-US" w:eastAsia="zh-CN"/>
        </w:rPr>
        <w:t xml:space="preserve">.</w:t>
      </w:r>
      <w:r>
        <w:rPr>
          <w:rFonts w:hint="eastAsia" w:ascii="宋体" w:hAnsi="宋体" w:eastAsia="宋体" w:cs="宋体"/>
          <w:b/>
          <w:bCs/>
          <w:sz w:val="21"/>
          <w:szCs w:val="21"/>
          <w:highlight w:val="none"/>
          <w:lang w:val="zh-CN"/>
        </w:rPr>
        <w:t xml:space="preserve">词语释义</w:t>
      </w:r>
      <w:r/>
    </w:p>
    <w:p>
      <w:pPr>
        <w:ind w:firstLine="439"/>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2.1采购人或者采购代理机构：具体组织实施招标活动的法人。</w:t>
      </w:r>
      <w:r/>
    </w:p>
    <w:p>
      <w:pPr>
        <w:ind w:firstLine="439"/>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zh-CN"/>
        </w:rPr>
        <w:t xml:space="preserve">2.2投标人：经认定有资格响应招标，参加投标竞争的法人或其他组织和自然人。</w:t>
      </w:r>
      <w:r/>
    </w:p>
    <w:p>
      <w:pPr>
        <w:ind w:firstLine="439"/>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zh-CN"/>
        </w:rPr>
        <w:t xml:space="preserve">2.3响应：投标人根据采购人或者采购代理机构或采购人或者采购代理机构发布的招标文件，编制投标文件并按规定投标的行为。</w:t>
      </w:r>
      <w:r/>
    </w:p>
    <w:p>
      <w:pPr>
        <w:ind w:firstLine="439"/>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zh-CN"/>
        </w:rPr>
        <w:t xml:space="preserve">2.4合同：采供双方根据招标文件和中标的投标文件及中标通知书规定的内容签署的以书面形式所达成的协议，包括所有的附件、附录和构成协议的所有文件。</w:t>
      </w:r>
      <w:r/>
    </w:p>
    <w:p>
      <w:pPr>
        <w:ind w:firstLine="439"/>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zh-CN"/>
        </w:rPr>
        <w:t xml:space="preserve">2.5甲方（采购方）：合同中明确规定的实际购买货物和服务的法人或其他组织和自然人(采购人) 。</w:t>
      </w:r>
      <w:r/>
    </w:p>
    <w:p>
      <w:pPr>
        <w:ind w:firstLine="439"/>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2.6乙方（供应商）：合同中规定的向采购方提供货物和服务的法人或其他组织和自然人(中标人)。</w:t>
      </w:r>
      <w:r/>
    </w:p>
    <w:p>
      <w:pPr>
        <w:ind w:firstLine="425"/>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w:t>
      </w:r>
      <w:r>
        <w:rPr>
          <w:rFonts w:hint="eastAsia" w:ascii="宋体" w:hAnsi="宋体" w:eastAsia="宋体" w:cs="宋体"/>
          <w:sz w:val="21"/>
          <w:szCs w:val="21"/>
          <w:highlight w:val="none"/>
        </w:rPr>
        <w:t xml:space="preserve">7</w:t>
      </w:r>
      <w:r>
        <w:rPr>
          <w:rFonts w:hint="eastAsia" w:ascii="宋体" w:hAnsi="宋体" w:eastAsia="宋体" w:cs="宋体"/>
          <w:sz w:val="21"/>
          <w:szCs w:val="21"/>
          <w:highlight w:val="none"/>
          <w:lang w:val="zh-CN"/>
        </w:rPr>
        <w:t xml:space="preserve">服务：系指本次招标采购文件规定乙方应承担的与提供货物和服务有关的辅助服务，比如运输、保险、安装、调试、提供技术援助、培训、配合措施、维修响应及合同中规定乙方应承担的其它义务。</w:t>
      </w:r>
      <w:r/>
    </w:p>
    <w:p>
      <w:pPr>
        <w:ind w:firstLine="50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zh-CN"/>
        </w:rPr>
        <w:t xml:space="preserve">2.</w:t>
      </w:r>
      <w:r>
        <w:rPr>
          <w:rFonts w:hint="eastAsia" w:ascii="宋体" w:hAnsi="宋体" w:eastAsia="宋体" w:cs="宋体"/>
          <w:sz w:val="21"/>
          <w:szCs w:val="21"/>
          <w:highlight w:val="none"/>
        </w:rPr>
        <w:t xml:space="preserve">8</w:t>
      </w:r>
      <w:r>
        <w:rPr>
          <w:rFonts w:hint="eastAsia" w:ascii="宋体" w:hAnsi="宋体" w:eastAsia="宋体" w:cs="宋体"/>
          <w:sz w:val="21"/>
          <w:szCs w:val="21"/>
          <w:highlight w:val="none"/>
          <w:lang w:val="zh-CN"/>
        </w:rPr>
        <w:t xml:space="preserve">知识产权：指专利权、商标权、著作权等无形财产专有权的统称。</w:t>
      </w:r>
      <w:r/>
    </w:p>
    <w:p>
      <w:pPr>
        <w:ind w:firstLine="50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zh-CN"/>
        </w:rPr>
        <w:t xml:space="preserve">2.</w:t>
      </w:r>
      <w:r>
        <w:rPr>
          <w:rFonts w:hint="eastAsia" w:ascii="宋体" w:hAnsi="宋体" w:eastAsia="宋体" w:cs="宋体"/>
          <w:sz w:val="21"/>
          <w:szCs w:val="21"/>
          <w:highlight w:val="none"/>
        </w:rPr>
        <w:t xml:space="preserve">9</w:t>
      </w:r>
      <w:r>
        <w:rPr>
          <w:rFonts w:hint="eastAsia" w:ascii="宋体" w:hAnsi="宋体" w:eastAsia="宋体" w:cs="宋体"/>
          <w:sz w:val="21"/>
          <w:szCs w:val="21"/>
          <w:highlight w:val="none"/>
          <w:lang w:val="zh-CN"/>
        </w:rPr>
        <w:t xml:space="preserve">天：日历日。</w:t>
      </w:r>
      <w:r/>
    </w:p>
    <w:p>
      <w:pPr>
        <w:ind w:firstLine="50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zh-CN"/>
        </w:rPr>
        <w:t xml:space="preserve">2.1</w:t>
      </w:r>
      <w:r>
        <w:rPr>
          <w:rFonts w:hint="eastAsia" w:ascii="宋体" w:hAnsi="宋体" w:eastAsia="宋体" w:cs="宋体"/>
          <w:sz w:val="21"/>
          <w:szCs w:val="21"/>
          <w:highlight w:val="none"/>
        </w:rPr>
        <w:t xml:space="preserve">0</w:t>
      </w:r>
      <w:r>
        <w:rPr>
          <w:rFonts w:hint="eastAsia" w:ascii="宋体" w:hAnsi="宋体" w:eastAsia="宋体" w:cs="宋体"/>
          <w:sz w:val="21"/>
          <w:szCs w:val="21"/>
          <w:highlight w:val="none"/>
          <w:lang w:val="zh-CN"/>
        </w:rPr>
        <w:t xml:space="preserve">交货地点：合同中明确约定的乙方提交的货物和服务最终到达地点。</w:t>
      </w:r>
      <w:r/>
    </w:p>
    <w:p>
      <w:pPr>
        <w:ind w:firstLine="502"/>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2.1</w:t>
      </w: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zh-CN"/>
        </w:rPr>
        <w:t xml:space="preserve">合同价款：根据合同规定，乙方在正确地履行合同义务后甲方应支付乙方的价款。</w:t>
      </w:r>
      <w:r/>
    </w:p>
    <w:p>
      <w:pPr>
        <w:ind w:firstLine="502"/>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2.1</w:t>
      </w: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zh-CN"/>
        </w:rPr>
        <w:t xml:space="preserve">不可抗力：不能预见、不能避免并且不能克服的客观情况。</w:t>
      </w:r>
      <w:r/>
    </w:p>
    <w:p>
      <w:pP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zh-CN"/>
        </w:rPr>
        <w:t xml:space="preserve">二、投标人</w:t>
      </w:r>
      <w:r/>
    </w:p>
    <w:p>
      <w:pP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zh-CN"/>
        </w:rPr>
        <w:t xml:space="preserve">3.合格投标人条件及资格条件</w:t>
      </w:r>
      <w:r/>
    </w:p>
    <w:p>
      <w:pPr>
        <w:ind w:firstLine="48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3.1</w:t>
      </w:r>
      <w:r>
        <w:rPr>
          <w:rFonts w:hint="eastAsia" w:ascii="宋体" w:hAnsi="宋体" w:eastAsia="宋体" w:cs="宋体"/>
          <w:sz w:val="21"/>
          <w:szCs w:val="21"/>
          <w:highlight w:val="none"/>
          <w:lang w:val="zh-CN"/>
        </w:rPr>
        <w:t xml:space="preserve">具有独立承担民事责任的能力；</w:t>
      </w:r>
      <w:r/>
    </w:p>
    <w:p>
      <w:pPr>
        <w:ind w:firstLine="48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3.2</w:t>
      </w:r>
      <w:r>
        <w:rPr>
          <w:rFonts w:hint="eastAsia" w:ascii="宋体" w:hAnsi="宋体" w:eastAsia="宋体" w:cs="宋体"/>
          <w:sz w:val="21"/>
          <w:szCs w:val="21"/>
          <w:highlight w:val="none"/>
          <w:lang w:val="zh-CN"/>
        </w:rPr>
        <w:t xml:space="preserve">具有良好的商业信誉和健全的财务会计制度；</w:t>
      </w:r>
      <w:r/>
    </w:p>
    <w:p>
      <w:pPr>
        <w:ind w:firstLine="48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3.3</w:t>
      </w:r>
      <w:r>
        <w:rPr>
          <w:rFonts w:hint="eastAsia" w:ascii="宋体" w:hAnsi="宋体" w:eastAsia="宋体" w:cs="宋体"/>
          <w:sz w:val="21"/>
          <w:szCs w:val="21"/>
          <w:highlight w:val="none"/>
          <w:lang w:val="zh-CN"/>
        </w:rPr>
        <w:t xml:space="preserve">具有履行合同所必需的设备和专业技术能力；</w:t>
      </w:r>
      <w:r/>
    </w:p>
    <w:p>
      <w:pPr>
        <w:ind w:firstLine="48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3.4</w:t>
      </w:r>
      <w:r>
        <w:rPr>
          <w:rFonts w:hint="eastAsia" w:ascii="宋体" w:hAnsi="宋体" w:eastAsia="宋体" w:cs="宋体"/>
          <w:sz w:val="21"/>
          <w:szCs w:val="21"/>
          <w:highlight w:val="none"/>
          <w:lang w:val="zh-CN"/>
        </w:rPr>
        <w:t xml:space="preserve">有依法缴纳税收和社会保障资金的良好记录；</w:t>
      </w:r>
      <w:r/>
    </w:p>
    <w:p>
      <w:pPr>
        <w:ind w:firstLine="48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3.5</w:t>
      </w:r>
      <w:r>
        <w:rPr>
          <w:rFonts w:hint="eastAsia" w:ascii="宋体" w:hAnsi="宋体" w:eastAsia="宋体" w:cs="宋体"/>
          <w:sz w:val="21"/>
          <w:szCs w:val="21"/>
          <w:highlight w:val="none"/>
          <w:lang w:val="zh-CN"/>
        </w:rPr>
        <w:t xml:space="preserve">参加政府采购活动前三年内，在经营活动中没有重大违法记录；</w:t>
      </w:r>
      <w:r/>
    </w:p>
    <w:p>
      <w:pPr>
        <w:ind w:firstLine="48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3.6</w:t>
      </w:r>
      <w:r>
        <w:rPr>
          <w:rFonts w:hint="eastAsia" w:ascii="宋体" w:hAnsi="宋体" w:eastAsia="宋体" w:cs="宋体"/>
          <w:sz w:val="21"/>
          <w:szCs w:val="21"/>
          <w:highlight w:val="none"/>
          <w:lang w:val="zh-CN"/>
        </w:rPr>
        <w:t xml:space="preserve">法律、行政法规规定的其他条件。</w:t>
      </w:r>
      <w:r/>
    </w:p>
    <w:p>
      <w:pPr>
        <w:ind w:firstLine="48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3.7</w:t>
      </w:r>
      <w:r>
        <w:rPr>
          <w:rFonts w:hint="eastAsia" w:ascii="宋体" w:hAnsi="宋体" w:eastAsia="宋体" w:cs="宋体"/>
          <w:sz w:val="21"/>
          <w:szCs w:val="21"/>
          <w:highlight w:val="none"/>
          <w:lang w:val="zh-CN"/>
        </w:rPr>
        <w:t xml:space="preserve">本次采购</w:t>
      </w:r>
      <w:r>
        <w:rPr>
          <w:rFonts w:hint="eastAsia" w:ascii="宋体" w:hAnsi="宋体" w:eastAsia="宋体" w:cs="宋体"/>
          <w:sz w:val="21"/>
          <w:szCs w:val="21"/>
          <w:highlight w:val="none"/>
          <w:lang w:val="en-US" w:eastAsia="zh-CN"/>
        </w:rPr>
        <w:t xml:space="preserve">不</w:t>
      </w:r>
      <w:r>
        <w:rPr>
          <w:rFonts w:hint="eastAsia" w:ascii="宋体" w:hAnsi="宋体" w:eastAsia="宋体" w:cs="宋体"/>
          <w:sz w:val="21"/>
          <w:szCs w:val="21"/>
          <w:highlight w:val="none"/>
          <w:lang w:val="zh-CN"/>
        </w:rPr>
        <w:t xml:space="preserve">接受进口产品。</w:t>
      </w:r>
      <w:r/>
    </w:p>
    <w:p>
      <w:pP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zh-CN"/>
        </w:rPr>
        <w:t xml:space="preserve">4.投标人代表</w:t>
      </w:r>
      <w:r/>
    </w:p>
    <w:p>
      <w:pPr>
        <w:ind w:firstLine="48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4.1指全权代表投标人参加投标活动并签署投标文件的人，如果投标人代表不是法定代表人（投资人），须持有《法定代表人（投资人）授权委托书》（详见统一格式）。</w:t>
      </w:r>
      <w:r/>
    </w:p>
    <w:p>
      <w:pPr>
        <w:spacing w:line="360" w:lineRule="auto"/>
        <w:rPr>
          <w:rFonts w:hint="eastAsia" w:ascii="宋体" w:hAnsi="宋体" w:eastAsia="宋体" w:cs="宋体"/>
          <w:b/>
          <w:bCs/>
          <w:sz w:val="21"/>
          <w:szCs w:val="21"/>
          <w:highlight w:val="none"/>
          <w:lang w:val="zh-CN"/>
        </w:rPr>
      </w:pPr>
      <w:r>
        <w:rPr>
          <w:rFonts w:hint="eastAsia" w:ascii="宋体" w:hAnsi="宋体" w:eastAsia="宋体" w:cs="宋体"/>
          <w:b/>
          <w:bCs/>
          <w:sz w:val="21"/>
          <w:szCs w:val="21"/>
          <w:highlight w:val="none"/>
          <w:lang w:val="zh-CN"/>
        </w:rPr>
        <w:t xml:space="preserve">5.投标费用 </w:t>
      </w:r>
      <w:r/>
    </w:p>
    <w:p>
      <w:pPr>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zh-CN"/>
        </w:rPr>
        <w:t xml:space="preserve">5.1无论投标过程中的做法和结果如何，投标人自行承担所有与参加投标有关的全部费用。</w:t>
      </w:r>
      <w:r/>
    </w:p>
    <w:p>
      <w:pPr>
        <w:spacing w:line="360" w:lineRule="auto"/>
        <w:rPr>
          <w:rFonts w:hint="default" w:ascii="宋体" w:hAnsi="宋体" w:eastAsia="宋体" w:cs="宋体"/>
          <w:sz w:val="21"/>
          <w:szCs w:val="21"/>
          <w:highlight w:val="none"/>
          <w:lang w:val="en-US" w:eastAsia="zh-CN"/>
        </w:rPr>
      </w:pPr>
      <w:r>
        <w:rPr>
          <w:rFonts w:hint="eastAsia" w:ascii="宋体" w:hAnsi="宋体" w:eastAsia="宋体" w:cs="宋体"/>
          <w:b/>
          <w:bCs/>
          <w:sz w:val="21"/>
          <w:szCs w:val="21"/>
          <w:highlight w:val="none"/>
          <w:lang w:val="zh-CN"/>
        </w:rPr>
        <w:t xml:space="preserve">6.联合投标</w:t>
      </w:r>
      <w:r>
        <w:rPr>
          <w:rFonts w:hint="eastAsia" w:ascii="宋体" w:hAnsi="宋体" w:cs="宋体"/>
          <w:b/>
          <w:bCs/>
          <w:sz w:val="21"/>
          <w:szCs w:val="21"/>
          <w:highlight w:val="none"/>
          <w:lang w:val="en-US" w:eastAsia="zh-CN"/>
        </w:rPr>
        <w:t xml:space="preserve">及转包、分包</w:t>
      </w:r>
      <w:r/>
    </w:p>
    <w:p>
      <w:pPr>
        <w:pStyle w:val="793"/>
        <w:ind w:left="0" w:firstLine="420"/>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6.1本项目不接受联合体投标。</w:t>
      </w:r>
      <w:r/>
    </w:p>
    <w:p>
      <w:pPr>
        <w:pStyle w:val="793"/>
        <w:ind w:left="0" w:firstLine="420"/>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6.2本项目不接受转包、分包。</w:t>
      </w:r>
      <w:r/>
    </w:p>
    <w:p>
      <w:pPr>
        <w:pStyle w:val="793"/>
        <w:ind w:left="0" w:firstLine="420"/>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6</w:t>
      </w:r>
      <w:r>
        <w:rPr>
          <w:rFonts w:ascii="宋体" w:hAnsi="宋体" w:cs="Times New Roman"/>
          <w:sz w:val="21"/>
          <w:szCs w:val="21"/>
          <w:highlight w:val="none"/>
        </w:rPr>
        <w:t xml:space="preserve">.3</w:t>
      </w:r>
      <w:r>
        <w:rPr>
          <w:rFonts w:hint="eastAsia" w:ascii="宋体" w:hAnsi="宋体" w:cs="Times New Roman"/>
          <w:sz w:val="21"/>
          <w:szCs w:val="21"/>
          <w:highlight w:val="none"/>
        </w:rPr>
        <w:t xml:space="preserve">本项目不接受进口产品。</w:t>
      </w:r>
      <w:r/>
    </w:p>
    <w:p>
      <w:pP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zh-CN"/>
        </w:rPr>
        <w:t xml:space="preserve">三、招标文件的说明</w:t>
      </w:r>
      <w:r/>
    </w:p>
    <w:p>
      <w:pPr>
        <w:spacing w:line="360" w:lineRule="auto"/>
        <w:rPr>
          <w:rFonts w:hint="eastAsia" w:ascii="宋体" w:hAnsi="宋体" w:eastAsia="宋体" w:cs="宋体"/>
          <w:b/>
          <w:bCs/>
          <w:sz w:val="21"/>
          <w:szCs w:val="21"/>
          <w:highlight w:val="none"/>
        </w:rPr>
      </w:pPr>
      <w:r>
        <w:rPr>
          <w:rFonts w:hint="eastAsia" w:ascii="宋体" w:hAnsi="宋体" w:cs="宋体"/>
          <w:b/>
          <w:bCs/>
          <w:sz w:val="21"/>
          <w:szCs w:val="21"/>
          <w:highlight w:val="none"/>
          <w:lang w:val="en-US" w:eastAsia="zh-CN"/>
        </w:rPr>
        <w:t xml:space="preserve">7</w:t>
      </w:r>
      <w:r>
        <w:rPr>
          <w:rFonts w:hint="eastAsia" w:ascii="宋体" w:hAnsi="宋体" w:eastAsia="宋体" w:cs="宋体"/>
          <w:b/>
          <w:bCs/>
          <w:sz w:val="21"/>
          <w:szCs w:val="21"/>
          <w:highlight w:val="none"/>
          <w:lang w:val="zh-CN"/>
        </w:rPr>
        <w:t xml:space="preserve">.招标文件</w:t>
      </w:r>
      <w:r/>
    </w:p>
    <w:p>
      <w:pPr>
        <w:pStyle w:val="793"/>
        <w:ind w:left="0" w:firstLine="420"/>
        <w:spacing w:line="360" w:lineRule="auto"/>
        <w:rPr>
          <w:rFonts w:ascii="宋体" w:hAnsi="宋体"/>
          <w:sz w:val="21"/>
          <w:szCs w:val="21"/>
          <w:highlight w:val="none"/>
        </w:rPr>
      </w:pPr>
      <w:r>
        <w:rPr>
          <w:rFonts w:hint="eastAsia" w:ascii="宋体" w:hAnsi="宋体"/>
          <w:sz w:val="21"/>
          <w:szCs w:val="21"/>
          <w:highlight w:val="none"/>
        </w:rPr>
        <w:t xml:space="preserve">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480"/>
        <w:spacing w:line="360" w:lineRule="auto"/>
        <w:rPr>
          <w:rFonts w:hint="eastAsia" w:ascii="宋体" w:hAnsi="宋体"/>
          <w:sz w:val="21"/>
          <w:szCs w:val="21"/>
          <w:highlight w:val="none"/>
        </w:rPr>
      </w:pPr>
      <w:r>
        <w:rPr>
          <w:rFonts w:hint="eastAsia" w:ascii="宋体" w:hAnsi="宋体"/>
          <w:sz w:val="21"/>
          <w:szCs w:val="21"/>
          <w:highlight w:val="none"/>
        </w:rPr>
        <w:t xml:space="preserve">招标文件及其补充通知（包括更正公告）不是直接从财政部门指定的政府采购信息发布媒体上下载获得的，采购人或采购代理机构对招标文件及其补遗的真实性、完整性不承担任何责任。</w:t>
      </w:r>
      <w:r/>
    </w:p>
    <w:p>
      <w:pPr>
        <w:spacing w:line="360" w:lineRule="auto"/>
        <w:rPr>
          <w:rFonts w:ascii="宋体" w:hAnsi="宋体"/>
          <w:b/>
          <w:sz w:val="21"/>
          <w:szCs w:val="21"/>
          <w:highlight w:val="none"/>
        </w:rPr>
      </w:pPr>
      <w:r>
        <w:rPr>
          <w:rFonts w:hint="eastAsia" w:ascii="宋体" w:hAnsi="宋体"/>
          <w:b/>
          <w:sz w:val="21"/>
          <w:szCs w:val="21"/>
          <w:highlight w:val="none"/>
        </w:rPr>
        <w:t xml:space="preserve">8.招标文件的澄清和修改</w:t>
      </w:r>
      <w:r/>
    </w:p>
    <w:p>
      <w:pPr>
        <w:pStyle w:val="793"/>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793"/>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793"/>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793"/>
        <w:ind w:left="0" w:firstLine="420"/>
        <w:spacing w:line="360" w:lineRule="auto"/>
        <w:rPr>
          <w:rFonts w:hint="eastAsia" w:ascii="宋体" w:hAnsi="宋体"/>
          <w:sz w:val="21"/>
          <w:szCs w:val="21"/>
          <w:highlight w:val="none"/>
          <w:lang w:val="zh-CN"/>
        </w:rPr>
      </w:pPr>
      <w:r>
        <w:rPr>
          <w:rFonts w:hint="eastAsia" w:ascii="宋体" w:hAnsi="宋体"/>
          <w:sz w:val="21"/>
          <w:szCs w:val="21"/>
          <w:highlight w:val="none"/>
        </w:rPr>
        <w:t xml:space="preserve">8.4招标文件的澄清、修改、补充等内容均以苏州市政府采购网上发布的内容为准。</w:t>
      </w:r>
      <w:r/>
    </w:p>
    <w:p>
      <w:pP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zh-CN"/>
        </w:rPr>
        <w:t xml:space="preserve">9.招标文件的询问</w:t>
      </w:r>
      <w:r/>
    </w:p>
    <w:p>
      <w:pPr>
        <w:ind w:firstLine="48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网上询问。报名成功的供应商在下载采购文件后，对采购文件有疑问的，可在“吴江区公共资源网上交易系统”中进行询问，询问信息不显示询问人的相关资料。代理机构通过网上交易系统收到询问后应在三个工作日内以网上答复的方式予以解答，由系统回复给询问人。</w:t>
      </w:r>
      <w:r/>
    </w:p>
    <w:p>
      <w:pPr>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招标文件的质疑</w:t>
      </w:r>
      <w:r/>
    </w:p>
    <w:p>
      <w:pPr>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9.1根据《政府采购质疑和投诉办法》财政部第94号令，供应商认为采购文件、采购过程、中标结果使自己的权益受到损害的，可以在知道或者应知其权益受到损害之日起7个工作日内，以书面形式向采购人、采购代理机构提出质疑。</w:t>
      </w:r>
      <w:r/>
    </w:p>
    <w:p>
      <w:pPr>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9.2本次采购文件要求供应商在法定质疑期内一次性提出针对同一采购程序环节的质疑。</w:t>
      </w:r>
      <w:r/>
    </w:p>
    <w:p>
      <w:pPr>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9.3采购人、采购代理机构收到质疑供应商在法定质疑期内发出的质疑函，应当在收到质疑函后7个工作日内作出答复，并以书面形式通知质疑供应商和其他有关供应商。</w:t>
      </w:r>
      <w:r/>
    </w:p>
    <w:p>
      <w:pPr>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9.4供应商提出质疑应当提交质疑函和必要的证明材料。质疑函应当包括下列内容：</w:t>
      </w:r>
      <w:r/>
    </w:p>
    <w:p>
      <w:pPr>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9.4.1供应商的姓名或者名称、地址、邮编、联系人及联系电话；</w:t>
      </w:r>
      <w:r/>
    </w:p>
    <w:p>
      <w:pPr>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9.4.2质疑项目的名称、编号；</w:t>
      </w:r>
      <w:r/>
    </w:p>
    <w:p>
      <w:pPr>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9.4.3具体、明确的质疑事项和与质疑事项相关的请求；</w:t>
      </w:r>
      <w:r/>
    </w:p>
    <w:p>
      <w:pPr>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9.4.4事实依据；</w:t>
      </w:r>
      <w:r/>
    </w:p>
    <w:p>
      <w:pPr>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9.4.5必要的法律依据；</w:t>
      </w:r>
      <w:r/>
    </w:p>
    <w:p>
      <w:pPr>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9.4.6提出质疑的日期。</w:t>
      </w:r>
      <w:r/>
    </w:p>
    <w:p>
      <w:pPr>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9.5质疑接收人：苏州市天美达招投标咨询服务有限公司</w:t>
      </w:r>
      <w:r/>
    </w:p>
    <w:p>
      <w:pPr>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联系人：业务部</w:t>
      </w:r>
      <w:r/>
    </w:p>
    <w:p>
      <w:pPr>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质疑接收方式：现场或邮寄</w:t>
      </w:r>
      <w:r/>
    </w:p>
    <w:p>
      <w:pPr>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联系电话：0512-65231142</w:t>
      </w:r>
      <w:r/>
    </w:p>
    <w:p>
      <w:pPr>
        <w:ind w:firstLine="48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rPr>
        <w:t xml:space="preserve">地址：苏州市平泷路251号城市生活广场A座1519室</w:t>
      </w:r>
      <w:r/>
    </w:p>
    <w:p>
      <w:pP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zh-CN"/>
        </w:rPr>
        <w:t xml:space="preserve">10.招标文件的修改</w:t>
      </w:r>
      <w:r/>
    </w:p>
    <w:p>
      <w:p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10.1在投标截止时间15日前，采购人或者采购代理机构无论出于自己的考虑，还是出于对投标人提问的澄清，均可对招标文件用补充文件的方式进行修改。</w:t>
      </w:r>
      <w:r/>
    </w:p>
    <w:p>
      <w:p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10.2采购人或者采购代理机构对招标文件的修改，将以补充文件的形式发布到相关媒体。补充文件将作为招标文件的组成部分，对所有投标人有约束力。</w:t>
      </w:r>
      <w:r/>
    </w:p>
    <w:p>
      <w:p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10.3为使投标人有足够的时间按招标文件的修改要求考虑修正投标文件，或出于其他原因，采购人或者采购代理机构有权推迟投标截止日期和开标日期，并将以补充文件的形式发布到相关媒体。</w:t>
      </w:r>
      <w:r/>
    </w:p>
    <w:p>
      <w:pPr>
        <w:pStyle w:val="1108"/>
        <w:ind w:firstLine="48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zh-CN"/>
        </w:rPr>
        <w:t xml:space="preserve">11.本项目不允许分包转包。</w:t>
      </w:r>
      <w:r/>
    </w:p>
    <w:p>
      <w:pP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zh-CN"/>
        </w:rPr>
        <w:t xml:space="preserve">四、投标文件说明</w:t>
      </w:r>
      <w:r/>
    </w:p>
    <w:p>
      <w:pPr>
        <w:ind w:left="459" w:hanging="459"/>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zh-CN"/>
        </w:rPr>
        <w:t xml:space="preserve">12．提示与要求</w:t>
      </w:r>
      <w:r/>
    </w:p>
    <w:p>
      <w:pPr>
        <w:ind w:firstLine="502"/>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12.1投标人应仔细阅读招标文件的所有内容，按招标文件的要求提供投标文件，并保证所提供的全部资料的真实性，以使其投标对招标文件做出实质性响应，否则，其投标可能被拒绝。</w:t>
      </w:r>
      <w:r/>
    </w:p>
    <w:p>
      <w:pPr>
        <w:ind w:firstLine="48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12.2无论是否递交投标文件，投标人都应将招标文件及以后的所有通知、文件等视为保密文件。</w:t>
      </w:r>
      <w:r/>
    </w:p>
    <w:p>
      <w:pP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zh-CN"/>
        </w:rPr>
        <w:t xml:space="preserve">13.投标文件计量单位和使用文字</w:t>
      </w:r>
      <w:r/>
    </w:p>
    <w:p>
      <w:pPr>
        <w:ind w:firstLine="439"/>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zh-CN"/>
        </w:rPr>
        <w:t xml:space="preserve">13.1投标文件中所使用的计量单位，除招标文件中有特殊要求外，均应使用中华人民共和国法定计量单位。</w:t>
      </w:r>
      <w:r/>
    </w:p>
    <w:p>
      <w:pPr>
        <w:ind w:firstLine="439"/>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13.2投标文件应使用中文编制，投标文件中必须使用其他文字的，必须附有中文译本。对于未附有中文译本和中文译本不准确的投标文件可能引起的对投标人不利的后果，采购人或者采购代理机构概不负责。</w:t>
      </w:r>
      <w:r/>
    </w:p>
    <w:p>
      <w:pPr>
        <w:numPr>
          <w:ilvl w:val="0"/>
          <w:numId w:val="0"/>
        </w:numPr>
        <w:spacing w:line="360" w:lineRule="auto"/>
        <w:tabs>
          <w:tab w:val="left" w:pos="720" w:leader="none"/>
        </w:tabs>
        <w:rPr>
          <w:rFonts w:hint="eastAsia" w:ascii="宋体" w:hAnsi="宋体" w:eastAsia="宋体" w:cs="宋体"/>
          <w:sz w:val="21"/>
          <w:szCs w:val="21"/>
          <w:highlight w:val="none"/>
          <w:lang w:val="zh-CN"/>
        </w:rPr>
      </w:pPr>
      <w:r>
        <w:rPr>
          <w:rFonts w:hint="eastAsia" w:ascii="宋体" w:hAnsi="宋体" w:eastAsia="宋体" w:cs="宋体"/>
          <w:b/>
          <w:bCs/>
          <w:sz w:val="21"/>
          <w:szCs w:val="21"/>
          <w:highlight w:val="none"/>
          <w:lang w:val="zh-CN" w:eastAsia="zh-CN" w:bidi="ar-SA"/>
        </w:rPr>
        <w:t xml:space="preserve">14.</w:t>
      </w:r>
      <w:r>
        <w:rPr>
          <w:rFonts w:hint="eastAsia" w:ascii="宋体" w:hAnsi="宋体" w:eastAsia="宋体" w:cs="宋体"/>
          <w:b/>
          <w:bCs/>
          <w:sz w:val="21"/>
          <w:szCs w:val="21"/>
          <w:highlight w:val="none"/>
        </w:rPr>
        <w:t xml:space="preserve">电子</w:t>
      </w:r>
      <w:r>
        <w:rPr>
          <w:rFonts w:hint="eastAsia" w:ascii="宋体" w:hAnsi="宋体" w:eastAsia="宋体" w:cs="宋体"/>
          <w:b/>
          <w:bCs/>
          <w:sz w:val="21"/>
          <w:szCs w:val="21"/>
          <w:highlight w:val="none"/>
          <w:lang w:val="zh-CN"/>
        </w:rPr>
        <w:t xml:space="preserve">投标文件的组成和顺序</w:t>
      </w:r>
      <w:r>
        <w:rPr>
          <w:rFonts w:hint="eastAsia" w:ascii="宋体" w:hAnsi="宋体" w:cs="宋体"/>
          <w:b/>
          <w:bCs/>
          <w:color w:val="auto"/>
          <w:szCs w:val="21"/>
          <w:highlight w:val="none"/>
        </w:rPr>
        <w:t xml:space="preserve">（具体以系统模块为准）</w:t>
      </w:r>
      <w:r/>
    </w:p>
    <w:p>
      <w:pPr>
        <w:ind w:firstLine="482"/>
        <w:spacing w:line="360" w:lineRule="auto"/>
        <w:rPr>
          <w:rFonts w:hint="eastAsia" w:ascii="宋体" w:hAnsi="宋体" w:eastAsia="宋体" w:cs="宋体"/>
          <w:sz w:val="21"/>
          <w:szCs w:val="21"/>
          <w:highlight w:val="none"/>
          <w:lang w:val="zh-CN"/>
        </w:rPr>
      </w:pPr>
      <w:r>
        <w:rPr>
          <w:rFonts w:hint="eastAsia" w:ascii="宋体" w:hAnsi="宋体" w:eastAsia="宋体" w:cs="宋体"/>
          <w:b/>
          <w:bCs/>
          <w:sz w:val="21"/>
          <w:szCs w:val="21"/>
          <w:highlight w:val="none"/>
          <w:lang w:val="zh-CN"/>
        </w:rPr>
        <w:t xml:space="preserve">1</w:t>
      </w:r>
      <w:r>
        <w:rPr>
          <w:rFonts w:hint="eastAsia" w:ascii="宋体" w:hAnsi="宋体" w:eastAsia="宋体" w:cs="宋体"/>
          <w:b/>
          <w:bCs/>
          <w:sz w:val="21"/>
          <w:szCs w:val="21"/>
          <w:highlight w:val="none"/>
        </w:rPr>
        <w:t xml:space="preserve">4</w:t>
      </w:r>
      <w:r>
        <w:rPr>
          <w:rFonts w:hint="eastAsia" w:ascii="宋体" w:hAnsi="宋体" w:eastAsia="宋体" w:cs="宋体"/>
          <w:b/>
          <w:bCs/>
          <w:sz w:val="21"/>
          <w:szCs w:val="21"/>
          <w:highlight w:val="none"/>
          <w:lang w:val="zh-CN"/>
        </w:rPr>
        <w:t xml:space="preserve">.1投标书一（报价部分）（详见投标文件格式）；</w:t>
      </w:r>
      <w:r/>
    </w:p>
    <w:p>
      <w:pPr>
        <w:ind w:firstLine="48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1</w:t>
      </w: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lang w:val="zh-CN"/>
        </w:rPr>
        <w:t xml:space="preserve">.1.1投标函；</w:t>
      </w:r>
      <w:r/>
    </w:p>
    <w:p>
      <w:pPr>
        <w:ind w:firstLine="48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1</w:t>
      </w: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lang w:val="zh-CN"/>
        </w:rPr>
        <w:t xml:space="preserve">.1.2投标单位营业执照副本复印件；</w:t>
      </w:r>
      <w:r/>
    </w:p>
    <w:p>
      <w:pPr>
        <w:ind w:firstLine="48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1</w:t>
      </w: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lang w:val="zh-CN"/>
        </w:rPr>
        <w:t xml:space="preserve">.1.3开标一览表(统一格式，用于唱标)；</w:t>
      </w:r>
      <w:r/>
    </w:p>
    <w:p>
      <w:pPr>
        <w:ind w:firstLine="48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1</w:t>
      </w: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lang w:val="zh-CN"/>
        </w:rPr>
        <w:t xml:space="preserve">.1.4投标报价分析表；</w:t>
      </w:r>
      <w:r/>
    </w:p>
    <w:p>
      <w:pPr>
        <w:ind w:firstLine="48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1</w:t>
      </w: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lang w:val="zh-CN"/>
        </w:rPr>
        <w:t xml:space="preserve">.1.5投标单位法定代表人身份证复印件，如为代理人参与投标的还需提供法定代表人授权委托书和代理人的身份证复印件；</w:t>
      </w:r>
      <w:r/>
    </w:p>
    <w:p>
      <w:pPr>
        <w:ind w:firstLine="482"/>
        <w:spacing w:line="360" w:lineRule="auto"/>
        <w:rPr>
          <w:rFonts w:hint="eastAsia" w:ascii="宋体" w:hAnsi="宋体" w:eastAsia="宋体" w:cs="宋体"/>
          <w:b/>
          <w:bCs/>
          <w:sz w:val="21"/>
          <w:szCs w:val="21"/>
          <w:highlight w:val="none"/>
          <w:lang w:val="zh-CN"/>
        </w:rPr>
      </w:pPr>
      <w:r>
        <w:rPr>
          <w:rFonts w:hint="eastAsia" w:ascii="宋体" w:hAnsi="宋体" w:eastAsia="宋体" w:cs="宋体"/>
          <w:b/>
          <w:bCs/>
          <w:sz w:val="21"/>
          <w:szCs w:val="21"/>
          <w:highlight w:val="none"/>
          <w:lang w:val="zh-CN"/>
        </w:rPr>
        <w:t xml:space="preserve">1</w:t>
      </w:r>
      <w:r>
        <w:rPr>
          <w:rFonts w:hint="eastAsia" w:ascii="宋体" w:hAnsi="宋体" w:eastAsia="宋体" w:cs="宋体"/>
          <w:b/>
          <w:bCs/>
          <w:sz w:val="21"/>
          <w:szCs w:val="21"/>
          <w:highlight w:val="none"/>
        </w:rPr>
        <w:t xml:space="preserve">4</w:t>
      </w:r>
      <w:r>
        <w:rPr>
          <w:rFonts w:hint="eastAsia" w:ascii="宋体" w:hAnsi="宋体" w:eastAsia="宋体" w:cs="宋体"/>
          <w:b/>
          <w:bCs/>
          <w:sz w:val="21"/>
          <w:szCs w:val="21"/>
          <w:highlight w:val="none"/>
          <w:lang w:val="zh-CN"/>
        </w:rPr>
        <w:t xml:space="preserve">.2投标书二（资格证明文件部分）</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14.2.1</w:t>
      </w:r>
      <w:r>
        <w:rPr>
          <w:rFonts w:hint="eastAsia" w:ascii="宋体" w:hAnsi="宋体" w:eastAsia="宋体" w:cs="宋体"/>
          <w:bCs/>
          <w:color w:val="000000"/>
          <w:sz w:val="21"/>
          <w:szCs w:val="21"/>
          <w:highlight w:val="none"/>
        </w:rPr>
        <w:t xml:space="preserve">法人或者其他组织的营业执照等证明文件，自然人的身份证明；（投标单位营业执照副本复印件，投标单位法定代表人身份证复印件，法人授权委托书（如有授权），投标单位代理人身份证复印件（如有授权））；（企业法人性质的投标单位应在经工商管理部门核准登记注册的经营范围内参与经营活动）</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14.2.2</w:t>
      </w:r>
      <w:r>
        <w:rPr>
          <w:rFonts w:hint="eastAsia" w:ascii="宋体" w:hAnsi="宋体" w:eastAsia="宋体" w:cs="宋体"/>
          <w:bCs/>
          <w:color w:val="000000"/>
          <w:sz w:val="21"/>
          <w:szCs w:val="21"/>
          <w:highlight w:val="none"/>
        </w:rPr>
        <w:t xml:space="preserve">良好的商业信誉和健全的财务会计制度证明的相关材料（包括但不限于最近一期经审计的财务报告，</w:t>
      </w:r>
      <w:r>
        <w:rPr>
          <w:rFonts w:hint="eastAsia" w:ascii="宋体" w:hAnsi="宋体" w:eastAsia="宋体" w:cs="宋体"/>
          <w:color w:val="000000"/>
          <w:sz w:val="21"/>
          <w:szCs w:val="21"/>
          <w:highlight w:val="none"/>
        </w:rPr>
        <w:t xml:space="preserve">其他组织、自然人及成立未满一年的法人应提供银行出具的资信证明</w:t>
      </w:r>
      <w:r>
        <w:rPr>
          <w:rFonts w:hint="eastAsia" w:ascii="宋体" w:hAnsi="宋体" w:eastAsia="宋体" w:cs="宋体"/>
          <w:bCs/>
          <w:color w:val="000000"/>
          <w:sz w:val="21"/>
          <w:szCs w:val="21"/>
          <w:highlight w:val="none"/>
        </w:rPr>
        <w:t xml:space="preserve">）；</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14.2.3</w:t>
      </w:r>
      <w:r>
        <w:rPr>
          <w:rFonts w:hint="eastAsia" w:ascii="宋体" w:hAnsi="宋体" w:cs="宋体"/>
          <w:color w:val="auto"/>
          <w:szCs w:val="21"/>
          <w:highlight w:val="none"/>
          <w:lang w:val="zh-CN"/>
        </w:rPr>
        <w:t xml:space="preserve">有依法缴纳税收和社会保障资金的良好记录。提供供应商参加本次政府采购活动前半年（至少一个月）依法缴纳税收和社会保险的凭据；依法免税或不需要缴纳社会保障资金的供应商，应提供相应证明资料证明其依法免税或不需要缴纳社会保障资金，否则不予认可；</w:t>
      </w:r>
      <w:r>
        <w:rPr>
          <w:rFonts w:hint="eastAsia" w:ascii="宋体" w:hAnsi="宋体" w:eastAsia="宋体" w:cs="宋体"/>
          <w:bCs/>
          <w:color w:val="000000"/>
          <w:sz w:val="21"/>
          <w:szCs w:val="21"/>
          <w:highlight w:val="none"/>
        </w:rPr>
        <w:t xml:space="preserve">；</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14.2.4</w:t>
      </w:r>
      <w:r>
        <w:rPr>
          <w:rFonts w:hint="eastAsia" w:ascii="宋体" w:hAnsi="宋体" w:eastAsia="宋体" w:cs="宋体"/>
          <w:bCs/>
          <w:color w:val="000000"/>
          <w:sz w:val="21"/>
          <w:szCs w:val="21"/>
          <w:highlight w:val="none"/>
        </w:rPr>
        <w:t xml:space="preserve">具备履行合同所必需的设备和专业技术能力的证明材料（例如完成本项目所使用的设备的购置合同或发票、本项目服务人员情况介绍和用工合同等证明材料）；</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14.2.5</w:t>
      </w:r>
      <w:r>
        <w:rPr>
          <w:rFonts w:hint="eastAsia" w:ascii="宋体" w:hAnsi="宋体" w:eastAsia="宋体" w:cs="宋体"/>
          <w:bCs/>
          <w:color w:val="000000"/>
          <w:sz w:val="21"/>
          <w:szCs w:val="21"/>
          <w:highlight w:val="none"/>
        </w:rPr>
        <w:t xml:space="preserve">参加政府采购活动前3年内在经营活动中没有重大违法记录的书面</w:t>
      </w:r>
      <w:r>
        <w:rPr>
          <w:rFonts w:hint="eastAsia" w:ascii="宋体" w:hAnsi="宋体" w:cs="宋体"/>
          <w:bCs/>
          <w:color w:val="000000"/>
          <w:sz w:val="21"/>
          <w:szCs w:val="21"/>
          <w:highlight w:val="none"/>
          <w:lang w:val="en-US" w:eastAsia="zh-CN"/>
        </w:rPr>
        <w:t xml:space="preserve">承诺</w:t>
      </w:r>
      <w:r>
        <w:rPr>
          <w:rFonts w:hint="eastAsia" w:ascii="宋体" w:hAnsi="宋体" w:eastAsia="宋体" w:cs="宋体"/>
          <w:bCs/>
          <w:color w:val="000000"/>
          <w:sz w:val="21"/>
          <w:szCs w:val="21"/>
          <w:highlight w:val="none"/>
        </w:rPr>
        <w:t xml:space="preserve">加盖公章；</w:t>
      </w:r>
      <w:r/>
    </w:p>
    <w:p>
      <w:pPr>
        <w:ind w:firstLine="48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1</w:t>
      </w: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lang w:val="zh-CN"/>
        </w:rPr>
        <w:t xml:space="preserve">.2.6关于资格文件的声明函（详见投标文件格式）。</w:t>
      </w:r>
      <w:r/>
    </w:p>
    <w:p>
      <w:pPr>
        <w:ind w:firstLine="482"/>
        <w:spacing w:line="360" w:lineRule="auto"/>
        <w:rPr>
          <w:rFonts w:hint="eastAsia" w:ascii="宋体" w:hAnsi="宋体" w:eastAsia="宋体" w:cs="宋体"/>
          <w:b/>
          <w:bCs/>
          <w:sz w:val="21"/>
          <w:szCs w:val="21"/>
          <w:highlight w:val="none"/>
          <w:lang w:val="zh-CN"/>
        </w:rPr>
      </w:pPr>
      <w:r>
        <w:rPr>
          <w:rFonts w:hint="eastAsia" w:ascii="宋体" w:hAnsi="宋体" w:eastAsia="宋体" w:cs="宋体"/>
          <w:b/>
          <w:bCs/>
          <w:sz w:val="21"/>
          <w:szCs w:val="21"/>
          <w:highlight w:val="none"/>
          <w:lang w:val="zh-CN"/>
        </w:rPr>
        <w:t xml:space="preserve">1</w:t>
      </w:r>
      <w:r>
        <w:rPr>
          <w:rFonts w:hint="eastAsia" w:ascii="宋体" w:hAnsi="宋体" w:eastAsia="宋体" w:cs="宋体"/>
          <w:b/>
          <w:bCs/>
          <w:sz w:val="21"/>
          <w:szCs w:val="21"/>
          <w:highlight w:val="none"/>
        </w:rPr>
        <w:t xml:space="preserve">4</w:t>
      </w:r>
      <w:r>
        <w:rPr>
          <w:rFonts w:hint="eastAsia" w:ascii="宋体" w:hAnsi="宋体" w:eastAsia="宋体" w:cs="宋体"/>
          <w:b/>
          <w:bCs/>
          <w:sz w:val="21"/>
          <w:szCs w:val="21"/>
          <w:highlight w:val="none"/>
          <w:lang w:val="zh-CN"/>
        </w:rPr>
        <w:t xml:space="preserve">.3投标书三（其他资料）</w:t>
      </w:r>
      <w:r/>
    </w:p>
    <w:p>
      <w:pPr>
        <w:ind w:firstLine="48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1</w:t>
      </w: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lang w:val="zh-CN"/>
        </w:rPr>
        <w:t xml:space="preserve">.3.1投标单位情况表（详见投标文件格式）；</w:t>
      </w:r>
      <w:r/>
    </w:p>
    <w:p>
      <w:pPr>
        <w:ind w:firstLine="48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1</w:t>
      </w: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lang w:val="zh-CN"/>
        </w:rPr>
        <w:t xml:space="preserve">.3.2投标单位法定代表人身份证复印件，如为代理人参与投标的还需提供法定代表人授权委托书和代理人的身份证复印件；</w:t>
      </w:r>
      <w:r/>
    </w:p>
    <w:p>
      <w:pPr>
        <w:ind w:firstLine="48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1</w:t>
      </w: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lang w:val="zh-CN"/>
        </w:rPr>
        <w:t xml:space="preserve">.3.3投标单位代理人身份证复印件（如有授权）；</w:t>
      </w:r>
      <w:r/>
    </w:p>
    <w:p>
      <w:pPr>
        <w:ind w:firstLine="48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1</w:t>
      </w: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lang w:val="zh-CN"/>
        </w:rPr>
        <w:t xml:space="preserve">.3.4投标（响应）保证承诺书（必须提供，不提供为无效投标）；</w:t>
      </w:r>
      <w:r/>
    </w:p>
    <w:p>
      <w:pPr>
        <w:ind w:firstLine="48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1</w:t>
      </w: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lang w:val="zh-CN"/>
        </w:rPr>
        <w:t xml:space="preserve">.3.5《中小微企业声明函》、《残疾人福利性单位声明函》、《监狱企业证明文件》。（如有）</w:t>
      </w:r>
      <w:r/>
    </w:p>
    <w:p>
      <w:pPr>
        <w:ind w:firstLine="48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1</w:t>
      </w: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lang w:val="zh-CN"/>
        </w:rPr>
        <w:t xml:space="preserve">.3.6其他需投标人对本次投标的详细说明；</w:t>
      </w:r>
      <w:r/>
    </w:p>
    <w:p>
      <w:pPr>
        <w:ind w:firstLine="48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1</w:t>
      </w: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lang w:val="zh-CN"/>
        </w:rPr>
        <w:t xml:space="preserve">.3.7其他可以证明投标人资信、资质和货物、服务质量的证书、文件、推荐信等补充资料。</w:t>
      </w:r>
      <w:r/>
    </w:p>
    <w:p>
      <w:pPr>
        <w:ind w:firstLine="422"/>
        <w:spacing w:line="360" w:lineRule="auto"/>
        <w:rPr>
          <w:rFonts w:hint="eastAsia" w:ascii="宋体" w:hAnsi="宋体" w:eastAsia="宋体" w:cs="宋体"/>
          <w:b/>
          <w:bCs/>
          <w:sz w:val="21"/>
          <w:szCs w:val="21"/>
          <w:highlight w:val="none"/>
          <w:lang w:val="zh-CN"/>
        </w:rPr>
      </w:pPr>
      <w:r>
        <w:rPr>
          <w:rFonts w:hint="eastAsia" w:ascii="宋体" w:hAnsi="宋体" w:eastAsia="宋体" w:cs="宋体"/>
          <w:b/>
          <w:bCs/>
          <w:sz w:val="21"/>
          <w:szCs w:val="21"/>
          <w:highlight w:val="none"/>
          <w:lang w:val="zh-CN"/>
        </w:rPr>
        <w:t xml:space="preserve">1</w:t>
      </w:r>
      <w:r>
        <w:rPr>
          <w:rFonts w:hint="eastAsia" w:ascii="宋体" w:hAnsi="宋体" w:eastAsia="宋体" w:cs="宋体"/>
          <w:b/>
          <w:bCs/>
          <w:sz w:val="21"/>
          <w:szCs w:val="21"/>
          <w:highlight w:val="none"/>
        </w:rPr>
        <w:t xml:space="preserve">4</w:t>
      </w:r>
      <w:r>
        <w:rPr>
          <w:rFonts w:hint="eastAsia" w:ascii="宋体" w:hAnsi="宋体" w:eastAsia="宋体" w:cs="宋体"/>
          <w:b/>
          <w:bCs/>
          <w:sz w:val="21"/>
          <w:szCs w:val="21"/>
          <w:highlight w:val="none"/>
          <w:lang w:val="zh-CN"/>
        </w:rPr>
        <w:t xml:space="preserve">.4投标书四（技术部分）</w:t>
      </w:r>
      <w:r/>
    </w:p>
    <w:p>
      <w:pPr>
        <w:ind w:firstLine="48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1</w:t>
      </w: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lang w:val="zh-CN"/>
        </w:rPr>
        <w:t xml:space="preserve">.4.1偏离表（商务条款偏离表、技术条款偏离表（如有）、服务条款偏离表（如有））；</w:t>
      </w:r>
      <w:r/>
    </w:p>
    <w:p>
      <w:pPr>
        <w:ind w:firstLine="48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1</w:t>
      </w: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lang w:val="zh-CN"/>
        </w:rPr>
        <w:t xml:space="preserve">.4.2实质性条款（服务人员表和相关证明材料）；</w:t>
      </w:r>
      <w:r/>
    </w:p>
    <w:p>
      <w:pPr>
        <w:ind w:firstLine="48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1</w:t>
      </w: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lang w:val="zh-CN"/>
        </w:rPr>
        <w:t xml:space="preserve">.4.3技术部分（技术标）。（详见第六章评分标准）</w:t>
      </w:r>
      <w:r/>
    </w:p>
    <w:p>
      <w:pPr>
        <w:ind w:firstLine="482"/>
        <w:spacing w:line="360" w:lineRule="auto"/>
        <w:rPr>
          <w:rFonts w:hint="eastAsia" w:ascii="宋体" w:hAnsi="宋体" w:eastAsia="宋体" w:cs="宋体"/>
          <w:sz w:val="21"/>
          <w:szCs w:val="21"/>
          <w:highlight w:val="none"/>
          <w:lang w:val="zh-CN"/>
        </w:rPr>
      </w:pPr>
      <w:r>
        <w:rPr>
          <w:rFonts w:hint="eastAsia" w:ascii="宋体" w:hAnsi="宋体" w:eastAsia="宋体" w:cs="宋体"/>
          <w:b/>
          <w:bCs/>
          <w:sz w:val="21"/>
          <w:szCs w:val="21"/>
          <w:highlight w:val="none"/>
          <w:lang w:val="zh-CN"/>
        </w:rPr>
        <w:t xml:space="preserve">注：（1）投标文件由1</w:t>
      </w:r>
      <w:r>
        <w:rPr>
          <w:rFonts w:hint="eastAsia" w:ascii="宋体" w:hAnsi="宋体" w:eastAsia="宋体" w:cs="宋体"/>
          <w:b/>
          <w:bCs/>
          <w:sz w:val="21"/>
          <w:szCs w:val="21"/>
          <w:highlight w:val="none"/>
        </w:rPr>
        <w:t xml:space="preserve">4</w:t>
      </w:r>
      <w:r>
        <w:rPr>
          <w:rFonts w:hint="eastAsia" w:ascii="宋体" w:hAnsi="宋体" w:eastAsia="宋体" w:cs="宋体"/>
          <w:b/>
          <w:bCs/>
          <w:sz w:val="21"/>
          <w:szCs w:val="21"/>
          <w:highlight w:val="none"/>
          <w:lang w:val="zh-CN"/>
        </w:rPr>
        <w:t xml:space="preserve">.1、1</w:t>
      </w:r>
      <w:r>
        <w:rPr>
          <w:rFonts w:hint="eastAsia" w:ascii="宋体" w:hAnsi="宋体" w:eastAsia="宋体" w:cs="宋体"/>
          <w:b/>
          <w:bCs/>
          <w:sz w:val="21"/>
          <w:szCs w:val="21"/>
          <w:highlight w:val="none"/>
        </w:rPr>
        <w:t xml:space="preserve">4</w:t>
      </w:r>
      <w:r>
        <w:rPr>
          <w:rFonts w:hint="eastAsia" w:ascii="宋体" w:hAnsi="宋体" w:eastAsia="宋体" w:cs="宋体"/>
          <w:b/>
          <w:bCs/>
          <w:sz w:val="21"/>
          <w:szCs w:val="21"/>
          <w:highlight w:val="none"/>
          <w:lang w:val="zh-CN"/>
        </w:rPr>
        <w:t xml:space="preserve">.2、1</w:t>
      </w:r>
      <w:r>
        <w:rPr>
          <w:rFonts w:hint="eastAsia" w:ascii="宋体" w:hAnsi="宋体" w:eastAsia="宋体" w:cs="宋体"/>
          <w:b/>
          <w:bCs/>
          <w:sz w:val="21"/>
          <w:szCs w:val="21"/>
          <w:highlight w:val="none"/>
        </w:rPr>
        <w:t xml:space="preserve">4</w:t>
      </w:r>
      <w:r>
        <w:rPr>
          <w:rFonts w:hint="eastAsia" w:ascii="宋体" w:hAnsi="宋体" w:eastAsia="宋体" w:cs="宋体"/>
          <w:b/>
          <w:bCs/>
          <w:sz w:val="21"/>
          <w:szCs w:val="21"/>
          <w:highlight w:val="none"/>
          <w:lang w:val="zh-CN"/>
        </w:rPr>
        <w:t xml:space="preserve">.3和1</w:t>
      </w:r>
      <w:r>
        <w:rPr>
          <w:rFonts w:hint="eastAsia" w:ascii="宋体" w:hAnsi="宋体" w:eastAsia="宋体" w:cs="宋体"/>
          <w:b/>
          <w:bCs/>
          <w:sz w:val="21"/>
          <w:szCs w:val="21"/>
          <w:highlight w:val="none"/>
        </w:rPr>
        <w:t xml:space="preserve">4</w:t>
      </w:r>
      <w:r>
        <w:rPr>
          <w:rFonts w:hint="eastAsia" w:ascii="宋体" w:hAnsi="宋体" w:eastAsia="宋体" w:cs="宋体"/>
          <w:b/>
          <w:bCs/>
          <w:sz w:val="21"/>
          <w:szCs w:val="21"/>
          <w:highlight w:val="none"/>
          <w:lang w:val="zh-CN"/>
        </w:rPr>
        <w:t xml:space="preserve">.4款规定的内容共同组成。投标人必须提交上述1</w:t>
      </w:r>
      <w:r>
        <w:rPr>
          <w:rFonts w:hint="eastAsia" w:ascii="宋体" w:hAnsi="宋体" w:eastAsia="宋体" w:cs="宋体"/>
          <w:b/>
          <w:bCs/>
          <w:sz w:val="21"/>
          <w:szCs w:val="21"/>
          <w:highlight w:val="none"/>
        </w:rPr>
        <w:t xml:space="preserve">4</w:t>
      </w:r>
      <w:r>
        <w:rPr>
          <w:rFonts w:hint="eastAsia" w:ascii="宋体" w:hAnsi="宋体" w:eastAsia="宋体" w:cs="宋体"/>
          <w:b/>
          <w:bCs/>
          <w:sz w:val="21"/>
          <w:szCs w:val="21"/>
          <w:highlight w:val="none"/>
          <w:lang w:val="zh-CN"/>
        </w:rPr>
        <w:t xml:space="preserve">.1.1—1</w:t>
      </w:r>
      <w:r>
        <w:rPr>
          <w:rFonts w:hint="eastAsia" w:ascii="宋体" w:hAnsi="宋体" w:eastAsia="宋体" w:cs="宋体"/>
          <w:b/>
          <w:bCs/>
          <w:sz w:val="21"/>
          <w:szCs w:val="21"/>
          <w:highlight w:val="none"/>
        </w:rPr>
        <w:t xml:space="preserve">4</w:t>
      </w:r>
      <w:r>
        <w:rPr>
          <w:rFonts w:hint="eastAsia" w:ascii="宋体" w:hAnsi="宋体" w:eastAsia="宋体" w:cs="宋体"/>
          <w:b/>
          <w:bCs/>
          <w:sz w:val="21"/>
          <w:szCs w:val="21"/>
          <w:highlight w:val="none"/>
          <w:lang w:val="zh-CN"/>
        </w:rPr>
        <w:t xml:space="preserve">.3.</w:t>
      </w:r>
      <w:r>
        <w:rPr>
          <w:rFonts w:hint="eastAsia" w:ascii="宋体" w:hAnsi="宋体" w:eastAsia="宋体" w:cs="宋体"/>
          <w:b/>
          <w:bCs/>
          <w:sz w:val="21"/>
          <w:szCs w:val="21"/>
          <w:highlight w:val="none"/>
          <w:lang w:val="en-US" w:eastAsia="zh-CN"/>
        </w:rPr>
        <w:t xml:space="preserve">5</w:t>
      </w:r>
      <w:r>
        <w:rPr>
          <w:rFonts w:hint="eastAsia" w:ascii="宋体" w:hAnsi="宋体" w:eastAsia="宋体" w:cs="宋体"/>
          <w:b/>
          <w:bCs/>
          <w:sz w:val="21"/>
          <w:szCs w:val="21"/>
          <w:highlight w:val="none"/>
          <w:lang w:val="zh-CN"/>
        </w:rPr>
        <w:t xml:space="preserve">、1</w:t>
      </w:r>
      <w:r>
        <w:rPr>
          <w:rFonts w:hint="eastAsia" w:ascii="宋体" w:hAnsi="宋体" w:eastAsia="宋体" w:cs="宋体"/>
          <w:b/>
          <w:bCs/>
          <w:sz w:val="21"/>
          <w:szCs w:val="21"/>
          <w:highlight w:val="none"/>
        </w:rPr>
        <w:t xml:space="preserve">4</w:t>
      </w:r>
      <w:r>
        <w:rPr>
          <w:rFonts w:hint="eastAsia" w:ascii="宋体" w:hAnsi="宋体" w:eastAsia="宋体" w:cs="宋体"/>
          <w:b/>
          <w:bCs/>
          <w:sz w:val="21"/>
          <w:szCs w:val="21"/>
          <w:highlight w:val="none"/>
          <w:lang w:val="zh-CN"/>
        </w:rPr>
        <w:t xml:space="preserve">.4.1-1</w:t>
      </w:r>
      <w:r>
        <w:rPr>
          <w:rFonts w:hint="eastAsia" w:ascii="宋体" w:hAnsi="宋体" w:eastAsia="宋体" w:cs="宋体"/>
          <w:b/>
          <w:bCs/>
          <w:sz w:val="21"/>
          <w:szCs w:val="21"/>
          <w:highlight w:val="none"/>
        </w:rPr>
        <w:t xml:space="preserve">4</w:t>
      </w:r>
      <w:r>
        <w:rPr>
          <w:rFonts w:hint="eastAsia" w:ascii="宋体" w:hAnsi="宋体" w:eastAsia="宋体" w:cs="宋体"/>
          <w:b/>
          <w:bCs/>
          <w:sz w:val="21"/>
          <w:szCs w:val="21"/>
          <w:highlight w:val="none"/>
          <w:lang w:val="zh-CN"/>
        </w:rPr>
        <w:t xml:space="preserve">.4.2款规定的资料。否则，投标文件将因资格性条件不符或未实质性响应招标文件而被拒绝。</w:t>
      </w:r>
      <w:r/>
    </w:p>
    <w:p>
      <w:pPr>
        <w:ind w:firstLine="48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（2）投标书二（资格要求证明文件）、投标书三（其他资料）和投标书四（评分要点及技术要求）中不得出现报价，备品备件、易损件除外。</w:t>
      </w:r>
      <w:r/>
    </w:p>
    <w:p>
      <w:pPr>
        <w:ind w:firstLine="482"/>
        <w:spacing w:line="360" w:lineRule="auto"/>
        <w:rPr>
          <w:rFonts w:hint="eastAsia" w:ascii="宋体" w:hAnsi="宋体" w:eastAsia="宋体" w:cs="宋体"/>
          <w:sz w:val="21"/>
          <w:szCs w:val="21"/>
          <w:highlight w:val="none"/>
          <w:lang w:val="zh-CN"/>
        </w:rPr>
      </w:pPr>
      <w:r>
        <w:rPr>
          <w:rFonts w:hint="eastAsia" w:ascii="宋体" w:hAnsi="宋体" w:eastAsia="宋体" w:cs="宋体"/>
          <w:b/>
          <w:bCs/>
          <w:sz w:val="21"/>
          <w:szCs w:val="21"/>
          <w:highlight w:val="none"/>
          <w:lang w:val="zh-CN"/>
        </w:rPr>
        <w:t xml:space="preserve">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r/>
    </w:p>
    <w:p>
      <w:pP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zh-CN"/>
        </w:rPr>
        <w:t xml:space="preserve">15.投标文件编制要求</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15.1电子投标文件按上述统一顺序、统一格式编写，并在首页编制“投标文件目录”。</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15.2电子投标文件制作</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（1）在苏采云系统中下载招标文件后，点击“客户端下载地址”，下载投标文件客户端，查看客户端使用说明。</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（2）将下载的招标文件导入投标文件客户端，按照《操作手册》完成投标文件的编制和加盖电子签章。</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（3）导出制作完成的投标文件，上传至苏采云系统。</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注：具体投标文件编制教程查看苏采云系统中的客户端使用说明和供应商《操作手册》。</w:t>
      </w:r>
      <w:r>
        <w:rPr>
          <w:rFonts w:hint="eastAsia" w:ascii="宋体" w:hAnsi="宋体" w:eastAsia="宋体" w:cs="宋体"/>
          <w:bCs/>
          <w:color w:val="000000"/>
          <w:sz w:val="21"/>
          <w:szCs w:val="21"/>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77.0pt;height:56.1pt;mso-wrap-distance-left:0.0pt;mso-wrap-distance-top:0.0pt;mso-wrap-distance-right:0.0pt;mso-wrap-distance-bottom:0.0pt;" filled="f" stroked="f">
            <v:path textboxrect="0,0,0,0"/>
            <v:imagedata r:id="rId19" o:title=""/>
          </v:shape>
          <o:OLEObject DrawAspect="Icon" r:id="rId20" ObjectID="_1525040" ProgID="Package" ShapeID="_x0000_i0" Type="Embed"/>
        </w:objec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15.3电子投标文件中的资料应按招标文件的要求加盖投标单位的电子签章或公章。</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15.4未按照要求编制电子投标文件，未按照要求在电子投标文件上加盖电子签章的，均视为无效投标。</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15.5投标报价（编制）要求的说明</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15.5.1除非合同中另有规定，投标单位对《投标报价表》中的全部货物及配套服务的报价应包括完成本项工作所需的一切应有费用。投标报价为最终报价，除非因特殊原因并经买卖双方协商同意，投标单位不得再要求追加任何费用。同时，除非合同条款中另有规定，否则，投标单位所报价格在合同实施期间不因市场变化因素而变动。</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15.5.2投标单位应按《投标报价表》中的全部货物和服务计算单价和总价。《投标报价表》中的每一单项均应计算并填写单价和总价，并由法定代表人或代理人签章。</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15.5.3投标单位应对招标文件内所要采购的全部内容进行报价，只投其中部分内容者，其标书将被拒绝。但如果招标文件要求分标段投标的，则投标单位可以有选择的只投其中一个或几个标段，也可以投全部标段，但各标段应分别计算填写单价和总价。</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15.5.4一项投标内容只允许一个报价，采购代理机构不接受任何有选择性的投标报价。</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15.5.5投标文件报价中的单价和总价全部采用人民币表示，除非合同的特殊条款另有规定。</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15.5.6最低的投标报价或最高的折扣比例是中标的重要条件，但不是中标的唯一条件。</w:t>
      </w:r>
      <w:r/>
    </w:p>
    <w:p>
      <w:pPr>
        <w:spacing w:line="360" w:lineRule="auto"/>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rPr>
        <w:t xml:space="preserve">16.</w:t>
      </w:r>
      <w:r>
        <w:rPr>
          <w:rFonts w:hint="eastAsia" w:ascii="宋体" w:hAnsi="宋体" w:eastAsia="宋体" w:cs="宋体"/>
          <w:b/>
          <w:color w:val="000000"/>
          <w:sz w:val="21"/>
          <w:szCs w:val="21"/>
          <w:highlight w:val="none"/>
          <w:lang w:val="zh-CN"/>
        </w:rPr>
        <w:t xml:space="preserve">电子投标文件的签署</w:t>
      </w:r>
      <w:r/>
    </w:p>
    <w:p>
      <w:pPr>
        <w:ind w:firstLine="480"/>
        <w:spacing w:line="360" w:lineRule="auto"/>
        <w:rPr>
          <w:rFonts w:hint="eastAsia" w:ascii="宋体" w:hAnsi="宋体" w:eastAsia="宋体" w:cs="宋体"/>
          <w:bCs/>
          <w:color w:val="000000"/>
          <w:sz w:val="21"/>
          <w:szCs w:val="21"/>
          <w:highlight w:val="none"/>
          <w:lang w:val="zh-CN"/>
        </w:rPr>
      </w:pPr>
      <w:r>
        <w:rPr>
          <w:rFonts w:hint="eastAsia" w:ascii="宋体" w:hAnsi="宋体" w:eastAsia="宋体" w:cs="宋体"/>
          <w:bCs/>
          <w:color w:val="000000"/>
          <w:sz w:val="21"/>
          <w:szCs w:val="21"/>
          <w:highlight w:val="none"/>
          <w:lang w:val="zh-CN"/>
        </w:rPr>
        <w:t xml:space="preserve">1</w:t>
      </w:r>
      <w:r>
        <w:rPr>
          <w:rFonts w:hint="eastAsia" w:ascii="宋体" w:hAnsi="宋体" w:eastAsia="宋体" w:cs="宋体"/>
          <w:bCs/>
          <w:color w:val="000000"/>
          <w:sz w:val="21"/>
          <w:szCs w:val="21"/>
          <w:highlight w:val="none"/>
        </w:rPr>
        <w:t xml:space="preserve">6</w:t>
      </w:r>
      <w:r>
        <w:rPr>
          <w:rFonts w:hint="eastAsia" w:ascii="宋体" w:hAnsi="宋体" w:eastAsia="宋体" w:cs="宋体"/>
          <w:bCs/>
          <w:color w:val="000000"/>
          <w:sz w:val="21"/>
          <w:szCs w:val="21"/>
          <w:highlight w:val="none"/>
          <w:lang w:val="zh-CN"/>
        </w:rPr>
        <w:t xml:space="preserve">.1投标单位应按招标文件的规定，编制电子投标文件并上传系统。</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zh-CN"/>
        </w:rPr>
        <w:t xml:space="preserve">1</w:t>
      </w:r>
      <w:r>
        <w:rPr>
          <w:rFonts w:hint="eastAsia" w:ascii="宋体" w:hAnsi="宋体" w:eastAsia="宋体" w:cs="宋体"/>
          <w:bCs/>
          <w:color w:val="000000"/>
          <w:sz w:val="21"/>
          <w:szCs w:val="21"/>
          <w:highlight w:val="none"/>
        </w:rPr>
        <w:t xml:space="preserve">6</w:t>
      </w:r>
      <w:r>
        <w:rPr>
          <w:rFonts w:hint="eastAsia" w:ascii="宋体" w:hAnsi="宋体" w:eastAsia="宋体" w:cs="宋体"/>
          <w:bCs/>
          <w:color w:val="000000"/>
          <w:sz w:val="21"/>
          <w:szCs w:val="21"/>
          <w:highlight w:val="none"/>
          <w:lang w:val="zh-CN"/>
        </w:rPr>
        <w:t xml:space="preserve">.2投标文件均应使用不能擦去的黑色或蓝色墨水打印或书写，需要法定代表人或代理人加盖公章或签名的文件必须按要求加盖电子签章或签名，若未按上述要求签署的电子投标文件为无效投标。</w:t>
      </w:r>
      <w:r/>
    </w:p>
    <w:p>
      <w:pPr>
        <w:ind w:firstLine="480"/>
        <w:spacing w:line="360" w:lineRule="auto"/>
        <w:rPr>
          <w:rFonts w:hint="eastAsia" w:ascii="宋体" w:hAnsi="宋体" w:eastAsia="宋体" w:cs="宋体"/>
          <w:sz w:val="21"/>
          <w:szCs w:val="21"/>
          <w:highlight w:val="none"/>
        </w:rPr>
      </w:pPr>
      <w:r>
        <w:rPr>
          <w:rFonts w:hint="eastAsia" w:ascii="宋体" w:hAnsi="宋体" w:eastAsia="宋体" w:cs="宋体"/>
          <w:bCs/>
          <w:color w:val="000000"/>
          <w:sz w:val="21"/>
          <w:szCs w:val="21"/>
          <w:highlight w:val="none"/>
          <w:lang w:val="zh-CN"/>
        </w:rPr>
        <w:t xml:space="preserve">1</w:t>
      </w:r>
      <w:r>
        <w:rPr>
          <w:rFonts w:hint="eastAsia" w:ascii="宋体" w:hAnsi="宋体" w:eastAsia="宋体" w:cs="宋体"/>
          <w:bCs/>
          <w:color w:val="000000"/>
          <w:sz w:val="21"/>
          <w:szCs w:val="21"/>
          <w:highlight w:val="none"/>
        </w:rPr>
        <w:t xml:space="preserve">6</w:t>
      </w:r>
      <w:r>
        <w:rPr>
          <w:rFonts w:hint="eastAsia" w:ascii="宋体" w:hAnsi="宋体" w:eastAsia="宋体" w:cs="宋体"/>
          <w:bCs/>
          <w:color w:val="000000"/>
          <w:sz w:val="21"/>
          <w:szCs w:val="21"/>
          <w:highlight w:val="none"/>
          <w:lang w:val="zh-CN"/>
        </w:rPr>
        <w:t xml:space="preserve">.3全套投标文件应无涂改和行间插字。因投标单位造成的必须修改的错误，在修改处应由法定代表人或代理人签名证明。</w:t>
      </w:r>
      <w:r/>
    </w:p>
    <w:p>
      <w:pPr>
        <w:pStyle w:val="1108"/>
        <w:spacing w:line="360" w:lineRule="auto"/>
        <w:rPr>
          <w:rFonts w:hint="eastAsia" w:ascii="宋体" w:hAnsi="宋体" w:eastAsia="宋体" w:cs="宋体"/>
          <w:sz w:val="21"/>
          <w:szCs w:val="21"/>
          <w:highlight w:val="none"/>
        </w:rPr>
      </w:pPr>
      <w:r>
        <w:rPr>
          <w:rFonts w:hint="eastAsia" w:ascii="宋体" w:hAnsi="宋体" w:eastAsia="宋体" w:cs="宋体"/>
          <w:b/>
          <w:bCs/>
          <w:sz w:val="21"/>
          <w:szCs w:val="21"/>
          <w:highlight w:val="none"/>
          <w:lang w:val="zh-CN"/>
        </w:rPr>
        <w:t xml:space="preserve">17.投标保证金：不设置</w:t>
      </w:r>
      <w:r/>
    </w:p>
    <w:p>
      <w:pPr>
        <w:spacing w:line="360" w:lineRule="auto"/>
        <w:rPr>
          <w:rFonts w:hint="eastAsia" w:ascii="宋体" w:hAnsi="宋体" w:eastAsia="宋体" w:cs="宋体"/>
          <w:sz w:val="21"/>
          <w:szCs w:val="21"/>
          <w:highlight w:val="none"/>
        </w:rPr>
      </w:pPr>
      <w:r>
        <w:rPr>
          <w:rFonts w:hint="eastAsia" w:ascii="宋体" w:hAnsi="宋体" w:eastAsia="宋体" w:cs="宋体"/>
          <w:b/>
          <w:bCs/>
          <w:sz w:val="21"/>
          <w:szCs w:val="21"/>
          <w:highlight w:val="none"/>
          <w:lang w:val="zh-CN"/>
        </w:rPr>
        <w:t xml:space="preserve">18.投标文件的有效期</w:t>
      </w:r>
      <w:r/>
    </w:p>
    <w:p>
      <w:pPr>
        <w:ind w:firstLine="50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zh-CN"/>
        </w:rPr>
        <w:t xml:space="preserve">18.1自开标日起</w:t>
      </w:r>
      <w:r>
        <w:rPr>
          <w:rFonts w:hint="eastAsia" w:ascii="宋体" w:hAnsi="宋体" w:eastAsia="宋体" w:cs="宋体"/>
          <w:sz w:val="21"/>
          <w:szCs w:val="21"/>
          <w:highlight w:val="none"/>
          <w:u w:val="single"/>
          <w:lang w:val="en-US" w:eastAsia="zh-CN"/>
        </w:rPr>
        <w:t xml:space="preserve">60</w:t>
      </w:r>
      <w:r>
        <w:rPr>
          <w:rFonts w:hint="eastAsia" w:ascii="宋体" w:hAnsi="宋体" w:eastAsia="宋体" w:cs="宋体"/>
          <w:sz w:val="21"/>
          <w:szCs w:val="21"/>
          <w:highlight w:val="none"/>
          <w:lang w:val="zh-CN"/>
        </w:rPr>
        <w:t xml:space="preserve">天，投标书应保持有效。有效期短于这个规定期限的投标，将被拒绝。</w:t>
      </w:r>
      <w:r/>
    </w:p>
    <w:p>
      <w:pPr>
        <w:ind w:firstLine="50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zh-CN"/>
        </w:rPr>
        <w:t xml:space="preserve">18.2在特殊情况下，采购人或者采购代理机构可与投标人协商延长投标书的有效期。这种要求和答复都应以书面、传真、或电报的形式进行。 同意延长有效期的投标人不能修改投标文件。</w:t>
      </w:r>
      <w:r/>
    </w:p>
    <w:p>
      <w:pPr>
        <w:pStyle w:val="1108"/>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19.</w:t>
      </w:r>
      <w:r>
        <w:rPr>
          <w:rFonts w:hint="eastAsia" w:ascii="宋体" w:hAnsi="宋体" w:eastAsia="宋体" w:cs="宋体"/>
          <w:b/>
          <w:color w:val="000000"/>
          <w:sz w:val="21"/>
          <w:szCs w:val="21"/>
          <w:highlight w:val="none"/>
          <w:lang w:val="zh-CN"/>
        </w:rPr>
        <w:t xml:space="preserve">电子投标文件的解密</w:t>
      </w:r>
      <w:r/>
    </w:p>
    <w:p>
      <w:pPr>
        <w:ind w:firstLine="480"/>
        <w:spacing w:line="360" w:lineRule="auto"/>
        <w:rPr>
          <w:rFonts w:hint="eastAsia" w:ascii="宋体" w:hAnsi="宋体" w:eastAsia="宋体" w:cs="宋体"/>
          <w:color w:val="000000"/>
          <w:sz w:val="21"/>
          <w:szCs w:val="21"/>
          <w:highlight w:val="none"/>
        </w:rPr>
      </w:pPr>
      <w:r/>
      <w:bookmarkStart w:id="19" w:name="_Hlk50468759"/>
      <w:r>
        <w:rPr>
          <w:rFonts w:hint="eastAsia" w:ascii="宋体" w:hAnsi="宋体" w:eastAsia="宋体" w:cs="宋体"/>
          <w:color w:val="000000"/>
          <w:sz w:val="21"/>
          <w:szCs w:val="21"/>
          <w:highlight w:val="none"/>
        </w:rPr>
        <w:t xml:space="preserve">投标单位必须使用数字证书（CA）登录苏采云系统开标大厅，到投标截止时间完成电子投标文件解密</w:t>
      </w:r>
      <w:bookmarkEnd w:id="19"/>
      <w:r>
        <w:rPr>
          <w:rFonts w:hint="eastAsia" w:ascii="宋体" w:hAnsi="宋体" w:eastAsia="宋体" w:cs="宋体"/>
          <w:color w:val="000000"/>
          <w:sz w:val="21"/>
          <w:szCs w:val="21"/>
          <w:highlight w:val="none"/>
        </w:rPr>
        <w:t xml:space="preserve">。</w:t>
      </w:r>
      <w:r/>
    </w:p>
    <w:p>
      <w:pPr>
        <w:ind w:firstLine="480"/>
        <w:spacing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u w:val="single"/>
          <w:lang w:val="zh-CN"/>
        </w:rPr>
        <w:t xml:space="preserve">至投标截止时间，完成解密的投标单位不足3家的，不得开标。</w:t>
      </w:r>
      <w:r/>
    </w:p>
    <w:p>
      <w:pPr>
        <w:pStyle w:val="1108"/>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20.投标截止时间</w:t>
      </w:r>
      <w:r/>
    </w:p>
    <w:p>
      <w:pPr>
        <w:pStyle w:val="1108"/>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20.1电子投标文件必须在投标截止时间前提交，逾期递交的，招标采购单位拒绝接收。</w:t>
      </w:r>
      <w:r/>
    </w:p>
    <w:p>
      <w:pPr>
        <w:pStyle w:val="1108"/>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20.2采购人或者采购代理机构推迟投标截止时间时，应以更正公告的形式，通知所有投标人。在这种情况下，招标代理人和投标人的权利和义务将受到新的截止期的约束。</w:t>
      </w:r>
      <w:r/>
    </w:p>
    <w:p>
      <w:pPr>
        <w:pStyle w:val="1108"/>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21.投标文件的修改和撤回</w:t>
      </w:r>
      <w:r/>
    </w:p>
    <w:p>
      <w:pPr>
        <w:pStyle w:val="1108"/>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21.1投标文件的修改应在投标截止时间前进行。</w:t>
      </w:r>
      <w:r/>
    </w:p>
    <w:p>
      <w:pPr>
        <w:pStyle w:val="1108"/>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21.2投标开始时间后至投标截止时间前，投标人可以撤回投标。</w:t>
      </w:r>
      <w:r/>
    </w:p>
    <w:p>
      <w:pPr>
        <w:pStyle w:val="1108"/>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六、开标和评标</w:t>
      </w:r>
      <w:r/>
    </w:p>
    <w:p>
      <w:pPr>
        <w:pStyle w:val="986"/>
        <w:ind w:firstLine="48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zh-CN"/>
        </w:rPr>
        <w:t xml:space="preserve">.1</w:t>
      </w:r>
      <w:r>
        <w:rPr>
          <w:rFonts w:hint="eastAsia" w:ascii="宋体" w:hAnsi="宋体" w:eastAsia="宋体" w:cs="宋体"/>
          <w:color w:val="000000"/>
          <w:sz w:val="21"/>
          <w:szCs w:val="21"/>
          <w:highlight w:val="none"/>
        </w:rPr>
        <w:t xml:space="preserve">代理机构工作人员</w:t>
      </w:r>
      <w:r>
        <w:rPr>
          <w:rFonts w:hint="eastAsia" w:ascii="宋体" w:hAnsi="宋体" w:eastAsia="宋体" w:cs="宋体"/>
          <w:color w:val="000000"/>
          <w:sz w:val="21"/>
          <w:szCs w:val="21"/>
          <w:highlight w:val="none"/>
          <w:lang w:val="zh-CN"/>
        </w:rPr>
        <w:t xml:space="preserve">将在招标公告中规定的时间和地点组织公开开标。投标单位应当按照《操作手册》规定，参加开标活动和在苏采云系统规定的时间内对投标文件进行解密。</w:t>
      </w:r>
      <w:r/>
    </w:p>
    <w:p>
      <w:pPr>
        <w:pStyle w:val="986"/>
        <w:ind w:firstLine="48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zh-CN"/>
        </w:rPr>
        <w:t xml:space="preserve">.2开标仪式由</w:t>
      </w:r>
      <w:r>
        <w:rPr>
          <w:rFonts w:hint="eastAsia" w:ascii="宋体" w:hAnsi="宋体" w:eastAsia="宋体" w:cs="宋体"/>
          <w:color w:val="000000"/>
          <w:sz w:val="21"/>
          <w:szCs w:val="21"/>
          <w:highlight w:val="none"/>
        </w:rPr>
        <w:t xml:space="preserve">代理机构</w:t>
      </w:r>
      <w:r>
        <w:rPr>
          <w:rFonts w:hint="eastAsia" w:ascii="宋体" w:hAnsi="宋体" w:eastAsia="宋体" w:cs="宋体"/>
          <w:color w:val="000000"/>
          <w:sz w:val="21"/>
          <w:szCs w:val="21"/>
          <w:highlight w:val="none"/>
          <w:lang w:val="zh-CN"/>
        </w:rPr>
        <w:t xml:space="preserve">组织。苏采云系统将自动对项目进行开标，并宣布各投标单位名称和投标价格。</w:t>
      </w:r>
      <w:r/>
    </w:p>
    <w:p>
      <w:pPr>
        <w:pStyle w:val="986"/>
        <w:ind w:firstLine="48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zh-CN"/>
        </w:rPr>
        <w:t xml:space="preserve">.3投标单位在开标过程中涉及到的投标文件解密、开标结果确认等工作，应按照《操作手册》规定执行。</w:t>
      </w:r>
      <w:r/>
    </w:p>
    <w:p>
      <w:pPr>
        <w:pStyle w:val="986"/>
        <w:ind w:firstLine="48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zh-CN"/>
        </w:rPr>
        <w:t xml:space="preserve">.4投标单位如果对开标过程和开标记录有疑义，应当根据《操作手册》规定提出，如苏采云系统中《开标记录表》宣布后5分钟内未提出的，视同认可开标结果。</w:t>
      </w:r>
      <w:r/>
    </w:p>
    <w:p>
      <w:pPr>
        <w:pStyle w:val="986"/>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.5在开标时，投标文件有下列情况之一者将视为无效：</w:t>
      </w:r>
      <w:r/>
    </w:p>
    <w:p>
      <w:pPr>
        <w:pStyle w:val="986"/>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.5.1投标文件未按招标文件要求签署、盖章的；</w:t>
      </w:r>
      <w:r/>
    </w:p>
    <w:p>
      <w:pPr>
        <w:pStyle w:val="986"/>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.5.2不具备招标文件中规定的资格要求的；</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.5.3报价超过招标文件中规定的预算金额或者最高限价的；</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22</w:t>
      </w:r>
      <w:r>
        <w:rPr>
          <w:rFonts w:hint="eastAsia" w:ascii="宋体" w:hAnsi="宋体" w:eastAsia="宋体" w:cs="宋体"/>
          <w:color w:val="000000"/>
          <w:sz w:val="21"/>
          <w:szCs w:val="21"/>
          <w:highlight w:val="none"/>
        </w:rPr>
        <w:t xml:space="preserve">.5.4投标文件含有采购人不能接受的附加条件的；</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22</w:t>
      </w:r>
      <w:r>
        <w:rPr>
          <w:rFonts w:hint="eastAsia" w:ascii="宋体" w:hAnsi="宋体" w:eastAsia="宋体" w:cs="宋体"/>
          <w:color w:val="000000"/>
          <w:sz w:val="21"/>
          <w:szCs w:val="21"/>
          <w:highlight w:val="none"/>
        </w:rPr>
        <w:t xml:space="preserve">.5.5法律、法规和招标文件规定的其他无效情形。</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22</w:t>
      </w:r>
      <w:r>
        <w:rPr>
          <w:rFonts w:hint="eastAsia" w:ascii="宋体" w:hAnsi="宋体" w:eastAsia="宋体" w:cs="宋体"/>
          <w:color w:val="000000"/>
          <w:sz w:val="21"/>
          <w:szCs w:val="21"/>
          <w:highlight w:val="none"/>
        </w:rPr>
        <w:t xml:space="preserve">.5.6不符合法律、法规和招标文件中规定的其他实质性要求的。</w:t>
      </w:r>
      <w:r/>
    </w:p>
    <w:p>
      <w:pPr>
        <w:numPr>
          <w:ilvl w:val="0"/>
          <w:numId w:val="0"/>
        </w:numPr>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bidi="ar-SA"/>
        </w:rPr>
        <w:t xml:space="preserve">23.</w:t>
      </w:r>
      <w:r>
        <w:rPr>
          <w:rFonts w:hint="eastAsia" w:ascii="宋体" w:hAnsi="宋体" w:eastAsia="宋体" w:cs="宋体"/>
          <w:b/>
          <w:color w:val="000000"/>
          <w:sz w:val="21"/>
          <w:szCs w:val="21"/>
          <w:highlight w:val="none"/>
        </w:rPr>
        <w:t xml:space="preserve">评标委员会或评标小组</w:t>
      </w:r>
      <w:r/>
    </w:p>
    <w:p>
      <w:pPr>
        <w:pStyle w:val="986"/>
        <w:ind w:firstLine="48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zh-CN"/>
        </w:rPr>
        <w:t xml:space="preserve">.1评标委员会或评标小组（以下简称评标委员会）成员依法组建。</w:t>
      </w:r>
      <w:r/>
    </w:p>
    <w:p>
      <w:pPr>
        <w:pStyle w:val="986"/>
        <w:ind w:firstLine="48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zh-CN"/>
        </w:rPr>
        <w:t xml:space="preserve">.2评标委员会或评标小组负责具体的评标事务，并独立履行以下职责：</w:t>
      </w:r>
      <w:r/>
    </w:p>
    <w:p>
      <w:pPr>
        <w:pStyle w:val="986"/>
        <w:ind w:firstLine="48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zh-CN"/>
        </w:rPr>
        <w:t xml:space="preserve">.2.1审查、评价投标文件是否符合招标文件的商务、技术等实质性要求；</w:t>
      </w:r>
      <w:r/>
    </w:p>
    <w:p>
      <w:pPr>
        <w:pStyle w:val="986"/>
        <w:ind w:firstLine="48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zh-CN"/>
        </w:rPr>
        <w:t xml:space="preserve">.2.2要求投标人对投标文件有关事项作出澄清或者说明；</w:t>
      </w:r>
      <w:r/>
    </w:p>
    <w:p>
      <w:pPr>
        <w:pStyle w:val="986"/>
        <w:ind w:firstLine="48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zh-CN"/>
        </w:rPr>
        <w:t xml:space="preserve">.2.3对投标文件进行比较和评价；</w:t>
      </w:r>
      <w:r/>
    </w:p>
    <w:p>
      <w:pPr>
        <w:pStyle w:val="986"/>
        <w:ind w:firstLine="48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zh-CN"/>
        </w:rPr>
        <w:t xml:space="preserve">.2.4确定中标候选人名单，以及根据采购单位委托直接确定中标单位；</w:t>
      </w:r>
      <w:r/>
    </w:p>
    <w:p>
      <w:pPr>
        <w:pStyle w:val="986"/>
        <w:ind w:firstLine="48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zh-CN"/>
        </w:rPr>
        <w:t xml:space="preserve">.2.5向采购单位、采购代理机构或者有关部门报告评标中发现的违法行为。</w:t>
      </w:r>
      <w:r/>
    </w:p>
    <w:p>
      <w:pPr>
        <w:pStyle w:val="986"/>
        <w:ind w:firstLine="48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zh-CN"/>
        </w:rPr>
        <w:t xml:space="preserve">.3评标委员会成员应当履行下列义务：</w:t>
      </w:r>
      <w:r/>
    </w:p>
    <w:p>
      <w:pPr>
        <w:pStyle w:val="986"/>
        <w:ind w:firstLine="48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zh-CN"/>
        </w:rPr>
        <w:t xml:space="preserve">3.1遵纪守法，客观、公正、廉洁地履行职责；</w:t>
      </w:r>
      <w:r/>
    </w:p>
    <w:p>
      <w:pPr>
        <w:pStyle w:val="986"/>
        <w:ind w:firstLine="48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zh-CN"/>
        </w:rPr>
        <w:t xml:space="preserve">.3.2按照招标文件规定的评标方法和评标标准进行评标，对评审意见承担个人责任；</w:t>
      </w:r>
      <w:r/>
    </w:p>
    <w:p>
      <w:pPr>
        <w:pStyle w:val="986"/>
        <w:ind w:firstLine="48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zh-CN"/>
        </w:rPr>
        <w:t xml:space="preserve">.3.3对评标过程和结果，以及投标人的商业秘密保密；</w:t>
      </w:r>
      <w:r/>
    </w:p>
    <w:p>
      <w:pPr>
        <w:pStyle w:val="986"/>
        <w:ind w:firstLine="48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zh-CN"/>
        </w:rPr>
        <w:t xml:space="preserve">.3.4参与评标报告的起草；</w:t>
      </w:r>
      <w:r/>
    </w:p>
    <w:p>
      <w:pPr>
        <w:pStyle w:val="986"/>
        <w:ind w:firstLine="48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zh-CN"/>
        </w:rPr>
        <w:t xml:space="preserve">.3.5配合财政部门的投诉处理工作；</w:t>
      </w:r>
      <w:r/>
    </w:p>
    <w:p>
      <w:pPr>
        <w:pStyle w:val="986"/>
        <w:ind w:firstLine="48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zh-CN"/>
        </w:rPr>
        <w:t xml:space="preserve">.3.6配合招标采购单位答复投标供应商提出的质疑。</w:t>
      </w:r>
      <w:r/>
    </w:p>
    <w:p>
      <w:pPr>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2</w:t>
      </w:r>
      <w:r>
        <w:rPr>
          <w:rFonts w:hint="eastAsia" w:ascii="宋体" w:hAnsi="宋体" w:eastAsia="宋体" w:cs="宋体"/>
          <w:b/>
          <w:color w:val="000000"/>
          <w:sz w:val="21"/>
          <w:szCs w:val="21"/>
          <w:highlight w:val="none"/>
          <w:lang w:val="en-US" w:eastAsia="zh-CN"/>
        </w:rPr>
        <w:t xml:space="preserve">4</w:t>
      </w:r>
      <w:r>
        <w:rPr>
          <w:rFonts w:hint="eastAsia" w:ascii="宋体" w:hAnsi="宋体" w:eastAsia="宋体" w:cs="宋体"/>
          <w:b/>
          <w:color w:val="000000"/>
          <w:sz w:val="21"/>
          <w:szCs w:val="21"/>
          <w:highlight w:val="none"/>
        </w:rPr>
        <w:t xml:space="preserve">.评标内容的保密</w:t>
      </w:r>
      <w:r/>
    </w:p>
    <w:p>
      <w:pPr>
        <w:pStyle w:val="986"/>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.1公开开标后，直到宣布授予中标单位中标为止，凡属于审查、澄清、评价和比较投标的所有资料，有关授予中标的信息都不应向投标单位或与评标无关的其他人泄露。</w:t>
      </w:r>
      <w:r/>
    </w:p>
    <w:p>
      <w:pPr>
        <w:pStyle w:val="986"/>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.2在投标文件的审查、澄清、评价和比较以及授予中标的过程中，投标单位对采购代理机构和评标委员会成员施加影响的任何行为，都将取消其投标资格。</w:t>
      </w:r>
      <w:r/>
    </w:p>
    <w:p>
      <w:pPr>
        <w:pStyle w:val="986"/>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.3在评标期间，采购代理机构将通过指定联络人与投标单位进行联系。</w:t>
      </w:r>
      <w:r/>
    </w:p>
    <w:p>
      <w:pPr>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2</w:t>
      </w:r>
      <w:r>
        <w:rPr>
          <w:rFonts w:hint="eastAsia" w:ascii="宋体" w:hAnsi="宋体" w:eastAsia="宋体" w:cs="宋体"/>
          <w:b/>
          <w:color w:val="000000"/>
          <w:sz w:val="21"/>
          <w:szCs w:val="21"/>
          <w:highlight w:val="none"/>
          <w:lang w:val="en-US" w:eastAsia="zh-CN"/>
        </w:rPr>
        <w:t xml:space="preserve">5</w:t>
      </w:r>
      <w:r>
        <w:rPr>
          <w:rFonts w:hint="eastAsia" w:ascii="宋体" w:hAnsi="宋体" w:eastAsia="宋体" w:cs="宋体"/>
          <w:b/>
          <w:color w:val="000000"/>
          <w:sz w:val="21"/>
          <w:szCs w:val="21"/>
          <w:highlight w:val="none"/>
        </w:rPr>
        <w:t xml:space="preserve">.对投标文件初审</w:t>
      </w:r>
      <w:r/>
    </w:p>
    <w:p>
      <w:pPr>
        <w:ind w:firstLine="420"/>
        <w:spacing w:line="360" w:lineRule="auto"/>
        <w:rPr>
          <w:rFonts w:hint="eastAsia" w:ascii="宋体" w:hAnsi="宋体" w:eastAsia="宋体" w:cs="宋体"/>
          <w:bCs/>
          <w:color w:val="000000"/>
          <w:sz w:val="21"/>
          <w:szCs w:val="21"/>
          <w:highlight w:val="none"/>
          <w:lang w:val="zh-CN"/>
        </w:rPr>
      </w:pPr>
      <w:r>
        <w:rPr>
          <w:rFonts w:hint="eastAsia" w:ascii="宋体" w:hAnsi="宋体" w:eastAsia="宋体" w:cs="宋体"/>
          <w:bCs/>
          <w:color w:val="000000"/>
          <w:sz w:val="21"/>
          <w:szCs w:val="21"/>
          <w:highlight w:val="none"/>
          <w:lang w:val="zh-CN"/>
        </w:rPr>
        <w:t xml:space="preserve">2</w:t>
      </w:r>
      <w:r>
        <w:rPr>
          <w:rFonts w:hint="eastAsia" w:ascii="宋体" w:hAnsi="宋体" w:eastAsia="宋体" w:cs="宋体"/>
          <w:bCs/>
          <w:color w:val="000000"/>
          <w:sz w:val="21"/>
          <w:szCs w:val="21"/>
          <w:highlight w:val="none"/>
          <w:lang w:val="en-US" w:eastAsia="zh-CN"/>
        </w:rPr>
        <w:t xml:space="preserve">5</w:t>
      </w:r>
      <w:r>
        <w:rPr>
          <w:rFonts w:hint="eastAsia" w:ascii="宋体" w:hAnsi="宋体" w:eastAsia="宋体" w:cs="宋体"/>
          <w:bCs/>
          <w:color w:val="000000"/>
          <w:sz w:val="21"/>
          <w:szCs w:val="21"/>
          <w:highlight w:val="none"/>
          <w:lang w:val="zh-CN"/>
        </w:rPr>
        <w:t xml:space="preserve">.1投标文件初审分为资格审查和符合性审查。</w:t>
      </w:r>
      <w:r/>
    </w:p>
    <w:p>
      <w:pPr>
        <w:ind w:firstLine="420"/>
        <w:spacing w:line="360" w:lineRule="auto"/>
        <w:rPr>
          <w:rFonts w:hint="eastAsia" w:ascii="宋体" w:hAnsi="宋体" w:eastAsia="宋体" w:cs="宋体"/>
          <w:bCs/>
          <w:color w:val="000000"/>
          <w:sz w:val="21"/>
          <w:szCs w:val="21"/>
          <w:highlight w:val="none"/>
          <w:lang w:val="zh-CN"/>
        </w:rPr>
      </w:pPr>
      <w:r>
        <w:rPr>
          <w:rFonts w:hint="eastAsia" w:ascii="宋体" w:hAnsi="宋体" w:eastAsia="宋体" w:cs="宋体"/>
          <w:bCs/>
          <w:color w:val="000000"/>
          <w:sz w:val="21"/>
          <w:szCs w:val="21"/>
          <w:highlight w:val="none"/>
          <w:lang w:val="zh-CN"/>
        </w:rPr>
        <w:t xml:space="preserve">2</w:t>
      </w:r>
      <w:r>
        <w:rPr>
          <w:rFonts w:hint="eastAsia" w:ascii="宋体" w:hAnsi="宋体" w:eastAsia="宋体" w:cs="宋体"/>
          <w:bCs/>
          <w:color w:val="000000"/>
          <w:sz w:val="21"/>
          <w:szCs w:val="21"/>
          <w:highlight w:val="none"/>
          <w:lang w:val="en-US" w:eastAsia="zh-CN"/>
        </w:rPr>
        <w:t xml:space="preserve">5</w:t>
      </w:r>
      <w:r>
        <w:rPr>
          <w:rFonts w:hint="eastAsia" w:ascii="宋体" w:hAnsi="宋体" w:eastAsia="宋体" w:cs="宋体"/>
          <w:bCs/>
          <w:color w:val="000000"/>
          <w:sz w:val="21"/>
          <w:szCs w:val="21"/>
          <w:highlight w:val="none"/>
          <w:lang w:val="zh-CN"/>
        </w:rPr>
        <w:t xml:space="preserve">.1.1资格审查：依据法律法规和招标文件的规定，由采购人代表对投标文件中的资格证明文件进行审查。资格审查的结论，采购人代表以书面形式向评标委员会进行反馈。</w:t>
      </w:r>
      <w:r/>
    </w:p>
    <w:p>
      <w:pPr>
        <w:ind w:firstLine="420"/>
        <w:spacing w:line="360" w:lineRule="auto"/>
        <w:rPr>
          <w:rFonts w:hint="eastAsia" w:ascii="宋体" w:hAnsi="宋体" w:eastAsia="宋体" w:cs="宋体"/>
          <w:bCs/>
          <w:color w:val="000000"/>
          <w:sz w:val="21"/>
          <w:szCs w:val="21"/>
          <w:highlight w:val="none"/>
          <w:lang w:val="zh-CN"/>
        </w:rPr>
      </w:pPr>
      <w:r>
        <w:rPr>
          <w:rFonts w:hint="eastAsia" w:ascii="宋体" w:hAnsi="宋体" w:eastAsia="宋体" w:cs="宋体"/>
          <w:bCs/>
          <w:color w:val="000000"/>
          <w:sz w:val="21"/>
          <w:szCs w:val="21"/>
          <w:highlight w:val="none"/>
          <w:lang w:val="zh-CN"/>
        </w:rPr>
        <w:t xml:space="preserve">采购人代表在进行资格性审查的同时，将在信用中国网站（www.creditchina.gov.cn/）查询投标单位的信用记录，以确定投标单位是否具备投标资格,查询结果留存并归档。</w:t>
      </w:r>
      <w:r/>
    </w:p>
    <w:p>
      <w:pPr>
        <w:ind w:firstLine="420"/>
        <w:spacing w:line="360" w:lineRule="auto"/>
        <w:rPr>
          <w:rFonts w:hint="eastAsia" w:ascii="宋体" w:hAnsi="宋体" w:eastAsia="宋体" w:cs="宋体"/>
          <w:bCs/>
          <w:color w:val="000000"/>
          <w:sz w:val="21"/>
          <w:szCs w:val="21"/>
          <w:highlight w:val="none"/>
          <w:lang w:val="zh-CN"/>
        </w:rPr>
      </w:pPr>
      <w:r>
        <w:rPr>
          <w:rFonts w:hint="eastAsia" w:ascii="宋体" w:hAnsi="宋体" w:eastAsia="宋体" w:cs="宋体"/>
          <w:bCs/>
          <w:color w:val="000000"/>
          <w:sz w:val="21"/>
          <w:szCs w:val="21"/>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360" w:lineRule="auto"/>
        <w:rPr>
          <w:rFonts w:hint="eastAsia" w:ascii="宋体" w:hAnsi="宋体" w:eastAsia="宋体" w:cs="宋体"/>
          <w:bCs/>
          <w:color w:val="000000"/>
          <w:sz w:val="21"/>
          <w:szCs w:val="21"/>
          <w:highlight w:val="none"/>
          <w:lang w:val="zh-CN"/>
        </w:rPr>
      </w:pPr>
      <w:r>
        <w:rPr>
          <w:rFonts w:hint="eastAsia" w:ascii="宋体" w:hAnsi="宋体" w:eastAsia="宋体" w:cs="宋体"/>
          <w:bCs/>
          <w:color w:val="000000"/>
          <w:sz w:val="21"/>
          <w:szCs w:val="21"/>
          <w:highlight w:val="none"/>
          <w:lang w:val="zh-CN"/>
        </w:rPr>
        <w:t xml:space="preserve">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20"/>
        <w:spacing w:line="360" w:lineRule="auto"/>
        <w:rPr>
          <w:rFonts w:hint="eastAsia" w:ascii="宋体" w:hAnsi="宋体" w:eastAsia="宋体" w:cs="宋体"/>
          <w:bCs/>
          <w:color w:val="000000"/>
          <w:sz w:val="21"/>
          <w:szCs w:val="21"/>
          <w:highlight w:val="none"/>
          <w:lang w:val="zh-CN"/>
        </w:rPr>
      </w:pPr>
      <w:r>
        <w:rPr>
          <w:rFonts w:hint="eastAsia" w:ascii="宋体" w:hAnsi="宋体" w:eastAsia="宋体" w:cs="宋体"/>
          <w:bCs/>
          <w:color w:val="000000"/>
          <w:sz w:val="21"/>
          <w:szCs w:val="21"/>
          <w:highlight w:val="none"/>
          <w:lang w:val="zh-CN"/>
        </w:rPr>
        <w:t xml:space="preserve">（一）政府采购严重违法记录，即供应商被全国各级财政部门列入“政府采购严重违法失信行为记录名单”，且在处罚有效期内的。</w:t>
      </w:r>
      <w:r/>
    </w:p>
    <w:p>
      <w:pPr>
        <w:ind w:firstLine="420"/>
        <w:spacing w:line="360" w:lineRule="auto"/>
        <w:rPr>
          <w:rFonts w:hint="eastAsia" w:ascii="宋体" w:hAnsi="宋体" w:eastAsia="宋体" w:cs="宋体"/>
          <w:bCs/>
          <w:color w:val="000000"/>
          <w:sz w:val="21"/>
          <w:szCs w:val="21"/>
          <w:highlight w:val="none"/>
          <w:lang w:val="zh-CN"/>
        </w:rPr>
      </w:pPr>
      <w:r>
        <w:rPr>
          <w:rFonts w:hint="eastAsia" w:ascii="宋体" w:hAnsi="宋体" w:eastAsia="宋体" w:cs="宋体"/>
          <w:bCs/>
          <w:color w:val="000000"/>
          <w:sz w:val="21"/>
          <w:szCs w:val="21"/>
          <w:highlight w:val="none"/>
          <w:lang w:val="zh-CN"/>
        </w:rPr>
        <w:t xml:space="preserve">（二）财政部门与法院、工商、税务等部门联合惩戒的失信信息，包括：</w:t>
      </w:r>
      <w:r/>
    </w:p>
    <w:p>
      <w:pPr>
        <w:ind w:firstLine="420"/>
        <w:spacing w:line="360" w:lineRule="auto"/>
        <w:rPr>
          <w:rFonts w:hint="eastAsia" w:ascii="宋体" w:hAnsi="宋体" w:eastAsia="宋体" w:cs="宋体"/>
          <w:bCs/>
          <w:color w:val="000000"/>
          <w:sz w:val="21"/>
          <w:szCs w:val="21"/>
          <w:highlight w:val="none"/>
          <w:lang w:val="zh-CN"/>
        </w:rPr>
      </w:pPr>
      <w:r>
        <w:rPr>
          <w:rFonts w:hint="eastAsia" w:ascii="宋体" w:hAnsi="宋体" w:eastAsia="宋体" w:cs="宋体"/>
          <w:bCs/>
          <w:color w:val="000000"/>
          <w:sz w:val="21"/>
          <w:szCs w:val="21"/>
          <w:highlight w:val="none"/>
          <w:lang w:val="zh-CN"/>
        </w:rPr>
        <w:t xml:space="preserve">（1）被列入失信被执行人名单；</w:t>
      </w:r>
      <w:r/>
    </w:p>
    <w:p>
      <w:pPr>
        <w:ind w:firstLine="420"/>
        <w:spacing w:line="360" w:lineRule="auto"/>
        <w:rPr>
          <w:rFonts w:hint="eastAsia" w:ascii="宋体" w:hAnsi="宋体" w:eastAsia="宋体" w:cs="宋体"/>
          <w:bCs/>
          <w:color w:val="000000"/>
          <w:sz w:val="21"/>
          <w:szCs w:val="21"/>
          <w:highlight w:val="none"/>
          <w:lang w:val="zh-CN"/>
        </w:rPr>
      </w:pPr>
      <w:r>
        <w:rPr>
          <w:rFonts w:hint="eastAsia" w:ascii="宋体" w:hAnsi="宋体" w:eastAsia="宋体" w:cs="宋体"/>
          <w:bCs/>
          <w:color w:val="000000"/>
          <w:sz w:val="21"/>
          <w:szCs w:val="21"/>
          <w:highlight w:val="none"/>
          <w:lang w:val="zh-CN"/>
        </w:rPr>
        <w:t xml:space="preserve">（2）被列入重大税收违法案件当事人名单；</w:t>
      </w:r>
      <w:r/>
    </w:p>
    <w:p>
      <w:pPr>
        <w:ind w:firstLine="420"/>
        <w:spacing w:line="360" w:lineRule="auto"/>
        <w:rPr>
          <w:rFonts w:hint="eastAsia" w:ascii="宋体" w:hAnsi="宋体" w:eastAsia="宋体" w:cs="宋体"/>
          <w:bCs/>
          <w:color w:val="000000"/>
          <w:sz w:val="21"/>
          <w:szCs w:val="21"/>
          <w:highlight w:val="none"/>
          <w:lang w:val="zh-CN"/>
        </w:rPr>
      </w:pPr>
      <w:r>
        <w:rPr>
          <w:rFonts w:hint="eastAsia" w:ascii="宋体" w:hAnsi="宋体" w:eastAsia="宋体" w:cs="宋体"/>
          <w:bCs/>
          <w:color w:val="000000"/>
          <w:sz w:val="21"/>
          <w:szCs w:val="21"/>
          <w:highlight w:val="none"/>
          <w:lang w:val="zh-CN"/>
        </w:rPr>
        <w:t xml:space="preserve">（3）企业经营异常名录中被责令停产停业、暂扣或者吊销许可证或者执照，或者对经营活动中的违法行为处以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ind w:firstLine="420"/>
        <w:spacing w:line="360" w:lineRule="auto"/>
        <w:rPr>
          <w:rFonts w:hint="eastAsia" w:ascii="宋体" w:hAnsi="宋体" w:eastAsia="宋体" w:cs="宋体"/>
          <w:bCs/>
          <w:color w:val="000000"/>
          <w:sz w:val="21"/>
          <w:szCs w:val="21"/>
          <w:highlight w:val="none"/>
          <w:lang w:val="zh-CN"/>
        </w:rPr>
      </w:pPr>
      <w:r>
        <w:rPr>
          <w:rFonts w:hint="eastAsia" w:ascii="宋体" w:hAnsi="宋体" w:eastAsia="宋体" w:cs="宋体"/>
          <w:bCs/>
          <w:color w:val="000000"/>
          <w:sz w:val="21"/>
          <w:szCs w:val="21"/>
          <w:highlight w:val="none"/>
          <w:lang w:val="zh-CN"/>
        </w:rPr>
        <w:t xml:space="preserve">2</w:t>
      </w:r>
      <w:r>
        <w:rPr>
          <w:rFonts w:hint="eastAsia" w:ascii="宋体" w:hAnsi="宋体" w:eastAsia="宋体" w:cs="宋体"/>
          <w:bCs/>
          <w:color w:val="000000"/>
          <w:sz w:val="21"/>
          <w:szCs w:val="21"/>
          <w:highlight w:val="none"/>
          <w:lang w:val="en-US" w:eastAsia="zh-CN"/>
        </w:rPr>
        <w:t xml:space="preserve">5</w:t>
      </w:r>
      <w:r>
        <w:rPr>
          <w:rFonts w:hint="eastAsia" w:ascii="宋体" w:hAnsi="宋体" w:eastAsia="宋体" w:cs="宋体"/>
          <w:bCs/>
          <w:color w:val="000000"/>
          <w:sz w:val="21"/>
          <w:szCs w:val="21"/>
          <w:highlight w:val="none"/>
          <w:lang w:val="zh-CN"/>
        </w:rPr>
        <w:t xml:space="preserve">.1.2符合性审查：</w:t>
      </w:r>
      <w:r/>
    </w:p>
    <w:p>
      <w:pPr>
        <w:ind w:firstLine="420"/>
        <w:spacing w:line="360" w:lineRule="auto"/>
        <w:rPr>
          <w:rFonts w:hint="eastAsia" w:ascii="宋体" w:hAnsi="宋体" w:eastAsia="宋体" w:cs="宋体"/>
          <w:bCs/>
          <w:color w:val="000000"/>
          <w:sz w:val="21"/>
          <w:szCs w:val="21"/>
          <w:highlight w:val="none"/>
          <w:lang w:val="zh-CN"/>
        </w:rPr>
      </w:pPr>
      <w:r>
        <w:rPr>
          <w:rFonts w:hint="eastAsia" w:ascii="宋体" w:hAnsi="宋体" w:eastAsia="宋体" w:cs="宋体"/>
          <w:bCs/>
          <w:color w:val="000000"/>
          <w:sz w:val="21"/>
          <w:szCs w:val="21"/>
          <w:highlight w:val="none"/>
          <w:lang w:val="zh-CN"/>
        </w:rPr>
        <w:t xml:space="preserve">评标委员会应当对符合资格的投标人的投标文件进行符合性审查，以确定其是否满足招标文件的实质性要求。</w:t>
      </w:r>
      <w:r/>
    </w:p>
    <w:p>
      <w:pPr>
        <w:ind w:firstLine="420"/>
        <w:spacing w:line="360" w:lineRule="auto"/>
        <w:rPr>
          <w:rFonts w:hint="eastAsia" w:ascii="宋体" w:hAnsi="宋体" w:eastAsia="宋体" w:cs="宋体"/>
          <w:bCs/>
          <w:color w:val="000000"/>
          <w:sz w:val="21"/>
          <w:szCs w:val="21"/>
          <w:highlight w:val="none"/>
          <w:lang w:val="zh-CN"/>
        </w:rPr>
      </w:pPr>
      <w:r>
        <w:rPr>
          <w:rFonts w:hint="eastAsia" w:ascii="宋体" w:hAnsi="宋体" w:eastAsia="宋体" w:cs="宋体"/>
          <w:bCs/>
          <w:color w:val="000000"/>
          <w:sz w:val="21"/>
          <w:szCs w:val="21"/>
          <w:highlight w:val="none"/>
          <w:lang w:val="zh-CN"/>
        </w:rPr>
        <w:t xml:space="preserve">投标文件有下列情况之一者将被拒绝：</w:t>
      </w:r>
      <w:r/>
    </w:p>
    <w:p>
      <w:pPr>
        <w:ind w:firstLine="420"/>
        <w:spacing w:line="360" w:lineRule="auto"/>
        <w:rPr>
          <w:rFonts w:hint="eastAsia" w:ascii="宋体" w:hAnsi="宋体" w:eastAsia="宋体" w:cs="宋体"/>
          <w:bCs/>
          <w:color w:val="000000"/>
          <w:sz w:val="21"/>
          <w:szCs w:val="21"/>
          <w:highlight w:val="none"/>
          <w:lang w:val="zh-CN"/>
        </w:rPr>
      </w:pPr>
      <w:r>
        <w:rPr>
          <w:rFonts w:hint="eastAsia" w:ascii="宋体" w:hAnsi="宋体" w:eastAsia="宋体" w:cs="宋体"/>
          <w:bCs/>
          <w:color w:val="000000"/>
          <w:sz w:val="21"/>
          <w:szCs w:val="21"/>
          <w:highlight w:val="none"/>
          <w:lang w:val="zh-CN"/>
        </w:rPr>
        <w:t xml:space="preserve">2</w:t>
      </w:r>
      <w:r>
        <w:rPr>
          <w:rFonts w:hint="eastAsia" w:ascii="宋体" w:hAnsi="宋体" w:eastAsia="宋体" w:cs="宋体"/>
          <w:bCs/>
          <w:color w:val="000000"/>
          <w:sz w:val="21"/>
          <w:szCs w:val="21"/>
          <w:highlight w:val="none"/>
          <w:lang w:val="en-US" w:eastAsia="zh-CN"/>
        </w:rPr>
        <w:t xml:space="preserve">5</w:t>
      </w:r>
      <w:r>
        <w:rPr>
          <w:rFonts w:hint="eastAsia" w:ascii="宋体" w:hAnsi="宋体" w:eastAsia="宋体" w:cs="宋体"/>
          <w:bCs/>
          <w:color w:val="000000"/>
          <w:sz w:val="21"/>
          <w:szCs w:val="21"/>
          <w:highlight w:val="none"/>
          <w:lang w:val="zh-CN"/>
        </w:rPr>
        <w:t xml:space="preserve">.1.2</w:t>
      </w:r>
      <w:r>
        <w:rPr>
          <w:rFonts w:hint="eastAsia" w:ascii="宋体" w:hAnsi="宋体" w:cs="宋体"/>
          <w:bCs/>
          <w:color w:val="000000"/>
          <w:sz w:val="21"/>
          <w:szCs w:val="21"/>
          <w:highlight w:val="none"/>
          <w:lang w:val="en-US" w:eastAsia="zh-CN"/>
        </w:rPr>
        <w:t xml:space="preserve">.1</w:t>
      </w:r>
      <w:r>
        <w:rPr>
          <w:rFonts w:hint="eastAsia" w:ascii="宋体" w:hAnsi="宋体" w:eastAsia="宋体" w:cs="宋体"/>
          <w:bCs/>
          <w:color w:val="000000"/>
          <w:sz w:val="21"/>
          <w:szCs w:val="21"/>
          <w:highlight w:val="none"/>
          <w:lang w:val="zh-CN"/>
        </w:rPr>
        <w:t xml:space="preserve">投标人的投标文件未按照本须知规定制作的；</w:t>
      </w:r>
      <w:r/>
    </w:p>
    <w:p>
      <w:pPr>
        <w:ind w:firstLine="420"/>
        <w:spacing w:line="360" w:lineRule="auto"/>
        <w:rPr>
          <w:rFonts w:hint="eastAsia" w:ascii="宋体" w:hAnsi="宋体" w:eastAsia="宋体" w:cs="宋体"/>
          <w:bCs/>
          <w:color w:val="000000"/>
          <w:sz w:val="21"/>
          <w:szCs w:val="21"/>
          <w:highlight w:val="none"/>
          <w:lang w:val="zh-CN"/>
        </w:rPr>
      </w:pPr>
      <w:r>
        <w:rPr>
          <w:rFonts w:hint="eastAsia" w:ascii="宋体" w:hAnsi="宋体" w:eastAsia="宋体" w:cs="宋体"/>
          <w:bCs/>
          <w:color w:val="000000"/>
          <w:sz w:val="21"/>
          <w:szCs w:val="21"/>
          <w:highlight w:val="none"/>
          <w:lang w:val="zh-CN"/>
        </w:rPr>
        <w:t xml:space="preserve">2</w:t>
      </w:r>
      <w:r>
        <w:rPr>
          <w:rFonts w:hint="eastAsia" w:ascii="宋体" w:hAnsi="宋体" w:eastAsia="宋体" w:cs="宋体"/>
          <w:bCs/>
          <w:color w:val="000000"/>
          <w:sz w:val="21"/>
          <w:szCs w:val="21"/>
          <w:highlight w:val="none"/>
          <w:lang w:val="en-US" w:eastAsia="zh-CN"/>
        </w:rPr>
        <w:t xml:space="preserve">5</w:t>
      </w:r>
      <w:r>
        <w:rPr>
          <w:rFonts w:hint="eastAsia" w:ascii="宋体" w:hAnsi="宋体" w:eastAsia="宋体" w:cs="宋体"/>
          <w:bCs/>
          <w:color w:val="000000"/>
          <w:sz w:val="21"/>
          <w:szCs w:val="21"/>
          <w:highlight w:val="none"/>
          <w:lang w:val="zh-CN"/>
        </w:rPr>
        <w:t xml:space="preserve">.1.2</w:t>
      </w:r>
      <w:r>
        <w:rPr>
          <w:rFonts w:hint="eastAsia" w:ascii="宋体" w:hAnsi="宋体" w:cs="宋体"/>
          <w:bCs/>
          <w:color w:val="000000"/>
          <w:sz w:val="21"/>
          <w:szCs w:val="21"/>
          <w:highlight w:val="none"/>
          <w:lang w:val="en-US" w:eastAsia="zh-CN"/>
        </w:rPr>
        <w:t xml:space="preserve">.</w:t>
      </w:r>
      <w:r>
        <w:rPr>
          <w:rFonts w:hint="eastAsia" w:ascii="宋体" w:hAnsi="宋体" w:eastAsia="宋体" w:cs="宋体"/>
          <w:bCs/>
          <w:color w:val="000000"/>
          <w:sz w:val="21"/>
          <w:szCs w:val="21"/>
          <w:highlight w:val="none"/>
          <w:lang w:val="zh-CN"/>
        </w:rPr>
        <w:t xml:space="preserve">2未按本须知规定提交资格文件或资质不合格；</w:t>
      </w:r>
      <w:r/>
    </w:p>
    <w:p>
      <w:pPr>
        <w:ind w:firstLine="420"/>
        <w:spacing w:line="360" w:lineRule="auto"/>
        <w:rPr>
          <w:rFonts w:hint="eastAsia" w:ascii="宋体" w:hAnsi="宋体" w:eastAsia="宋体" w:cs="宋体"/>
          <w:bCs/>
          <w:color w:val="000000"/>
          <w:sz w:val="21"/>
          <w:szCs w:val="21"/>
          <w:highlight w:val="none"/>
          <w:lang w:val="zh-CN"/>
        </w:rPr>
      </w:pPr>
      <w:r>
        <w:rPr>
          <w:rFonts w:hint="eastAsia" w:ascii="宋体" w:hAnsi="宋体" w:eastAsia="宋体" w:cs="宋体"/>
          <w:bCs/>
          <w:color w:val="000000"/>
          <w:sz w:val="21"/>
          <w:szCs w:val="21"/>
          <w:highlight w:val="none"/>
          <w:lang w:val="zh-CN"/>
        </w:rPr>
        <w:t xml:space="preserve">2</w:t>
      </w:r>
      <w:r>
        <w:rPr>
          <w:rFonts w:hint="eastAsia" w:ascii="宋体" w:hAnsi="宋体" w:eastAsia="宋体" w:cs="宋体"/>
          <w:bCs/>
          <w:color w:val="000000"/>
          <w:sz w:val="21"/>
          <w:szCs w:val="21"/>
          <w:highlight w:val="none"/>
          <w:lang w:val="en-US" w:eastAsia="zh-CN"/>
        </w:rPr>
        <w:t xml:space="preserve">5</w:t>
      </w:r>
      <w:r>
        <w:rPr>
          <w:rFonts w:hint="eastAsia" w:ascii="宋体" w:hAnsi="宋体" w:eastAsia="宋体" w:cs="宋体"/>
          <w:bCs/>
          <w:color w:val="000000"/>
          <w:sz w:val="21"/>
          <w:szCs w:val="21"/>
          <w:highlight w:val="none"/>
          <w:lang w:val="zh-CN"/>
        </w:rPr>
        <w:t xml:space="preserve">.1.2</w:t>
      </w:r>
      <w:r>
        <w:rPr>
          <w:rFonts w:hint="eastAsia" w:ascii="宋体" w:hAnsi="宋体" w:cs="宋体"/>
          <w:bCs/>
          <w:color w:val="000000"/>
          <w:sz w:val="21"/>
          <w:szCs w:val="21"/>
          <w:highlight w:val="none"/>
          <w:lang w:val="en-US" w:eastAsia="zh-CN"/>
        </w:rPr>
        <w:t xml:space="preserve">.</w:t>
      </w:r>
      <w:r>
        <w:rPr>
          <w:rFonts w:hint="eastAsia" w:ascii="宋体" w:hAnsi="宋体" w:eastAsia="宋体" w:cs="宋体"/>
          <w:bCs/>
          <w:color w:val="000000"/>
          <w:sz w:val="21"/>
          <w:szCs w:val="21"/>
          <w:highlight w:val="none"/>
          <w:lang w:val="zh-CN"/>
        </w:rPr>
        <w:t xml:space="preserve">3与招标文件有重大偏离；</w:t>
      </w:r>
      <w:r/>
    </w:p>
    <w:p>
      <w:pPr>
        <w:ind w:firstLine="420"/>
        <w:spacing w:line="360" w:lineRule="auto"/>
        <w:rPr>
          <w:rFonts w:hint="eastAsia" w:ascii="宋体" w:hAnsi="宋体" w:eastAsia="宋体" w:cs="宋体"/>
          <w:bCs/>
          <w:color w:val="000000"/>
          <w:sz w:val="21"/>
          <w:szCs w:val="21"/>
          <w:highlight w:val="none"/>
          <w:lang w:val="zh-CN"/>
        </w:rPr>
      </w:pPr>
      <w:r>
        <w:rPr>
          <w:rFonts w:hint="eastAsia" w:ascii="宋体" w:hAnsi="宋体" w:eastAsia="宋体" w:cs="宋体"/>
          <w:bCs/>
          <w:color w:val="000000"/>
          <w:sz w:val="21"/>
          <w:szCs w:val="21"/>
          <w:highlight w:val="none"/>
          <w:lang w:val="zh-CN"/>
        </w:rPr>
        <w:t xml:space="preserve">2</w:t>
      </w:r>
      <w:r>
        <w:rPr>
          <w:rFonts w:hint="eastAsia" w:ascii="宋体" w:hAnsi="宋体" w:eastAsia="宋体" w:cs="宋体"/>
          <w:bCs/>
          <w:color w:val="000000"/>
          <w:sz w:val="21"/>
          <w:szCs w:val="21"/>
          <w:highlight w:val="none"/>
          <w:lang w:val="en-US" w:eastAsia="zh-CN"/>
        </w:rPr>
        <w:t xml:space="preserve">5</w:t>
      </w:r>
      <w:r>
        <w:rPr>
          <w:rFonts w:hint="eastAsia" w:ascii="宋体" w:hAnsi="宋体" w:eastAsia="宋体" w:cs="宋体"/>
          <w:bCs/>
          <w:color w:val="000000"/>
          <w:sz w:val="21"/>
          <w:szCs w:val="21"/>
          <w:highlight w:val="none"/>
          <w:lang w:val="zh-CN"/>
        </w:rPr>
        <w:t xml:space="preserve">.1.2</w:t>
      </w:r>
      <w:r>
        <w:rPr>
          <w:rFonts w:hint="eastAsia" w:ascii="宋体" w:hAnsi="宋体" w:cs="宋体"/>
          <w:bCs/>
          <w:color w:val="000000"/>
          <w:sz w:val="21"/>
          <w:szCs w:val="21"/>
          <w:highlight w:val="none"/>
          <w:lang w:val="en-US" w:eastAsia="zh-CN"/>
        </w:rPr>
        <w:t xml:space="preserve">.</w:t>
      </w:r>
      <w:r>
        <w:rPr>
          <w:rFonts w:hint="eastAsia" w:ascii="宋体" w:hAnsi="宋体" w:eastAsia="宋体" w:cs="宋体"/>
          <w:bCs/>
          <w:color w:val="000000"/>
          <w:sz w:val="21"/>
          <w:szCs w:val="21"/>
          <w:highlight w:val="none"/>
          <w:lang w:val="zh-CN"/>
        </w:rPr>
        <w:t xml:space="preserve">4投标人拒绝修正错误；</w:t>
      </w:r>
      <w:r/>
    </w:p>
    <w:p>
      <w:pPr>
        <w:ind w:firstLine="420"/>
        <w:spacing w:line="360" w:lineRule="auto"/>
        <w:rPr>
          <w:rFonts w:hint="eastAsia" w:ascii="宋体" w:hAnsi="宋体" w:eastAsia="宋体" w:cs="宋体"/>
          <w:bCs/>
          <w:color w:val="000000"/>
          <w:sz w:val="21"/>
          <w:szCs w:val="21"/>
          <w:highlight w:val="none"/>
          <w:lang w:val="zh-CN"/>
        </w:rPr>
      </w:pPr>
      <w:r>
        <w:rPr>
          <w:rFonts w:hint="eastAsia" w:ascii="宋体" w:hAnsi="宋体" w:eastAsia="宋体" w:cs="宋体"/>
          <w:bCs/>
          <w:color w:val="000000"/>
          <w:sz w:val="21"/>
          <w:szCs w:val="21"/>
          <w:highlight w:val="none"/>
          <w:lang w:val="zh-CN"/>
        </w:rPr>
        <w:t xml:space="preserve">2</w:t>
      </w:r>
      <w:r>
        <w:rPr>
          <w:rFonts w:hint="eastAsia" w:ascii="宋体" w:hAnsi="宋体" w:eastAsia="宋体" w:cs="宋体"/>
          <w:bCs/>
          <w:color w:val="000000"/>
          <w:sz w:val="21"/>
          <w:szCs w:val="21"/>
          <w:highlight w:val="none"/>
          <w:lang w:val="en-US" w:eastAsia="zh-CN"/>
        </w:rPr>
        <w:t xml:space="preserve">5</w:t>
      </w:r>
      <w:r>
        <w:rPr>
          <w:rFonts w:hint="eastAsia" w:ascii="宋体" w:hAnsi="宋体" w:eastAsia="宋体" w:cs="宋体"/>
          <w:bCs/>
          <w:color w:val="000000"/>
          <w:sz w:val="21"/>
          <w:szCs w:val="21"/>
          <w:highlight w:val="none"/>
          <w:lang w:val="zh-CN"/>
        </w:rPr>
        <w:t xml:space="preserve">.1.2</w:t>
      </w:r>
      <w:r>
        <w:rPr>
          <w:rFonts w:hint="eastAsia" w:ascii="宋体" w:hAnsi="宋体" w:cs="宋体"/>
          <w:bCs/>
          <w:color w:val="000000"/>
          <w:sz w:val="21"/>
          <w:szCs w:val="21"/>
          <w:highlight w:val="none"/>
          <w:lang w:val="en-US" w:eastAsia="zh-CN"/>
        </w:rPr>
        <w:t xml:space="preserve">.</w:t>
      </w:r>
      <w:r>
        <w:rPr>
          <w:rFonts w:hint="eastAsia" w:ascii="宋体" w:hAnsi="宋体" w:eastAsia="宋体" w:cs="宋体"/>
          <w:bCs/>
          <w:color w:val="000000"/>
          <w:sz w:val="21"/>
          <w:szCs w:val="21"/>
          <w:highlight w:val="none"/>
          <w:lang w:val="zh-CN"/>
        </w:rPr>
        <w:t xml:space="preserve">5投标人的报价是选择性的；</w:t>
      </w:r>
      <w:r/>
    </w:p>
    <w:p>
      <w:pPr>
        <w:ind w:firstLine="420"/>
        <w:spacing w:line="360" w:lineRule="auto"/>
        <w:rPr>
          <w:rFonts w:hint="eastAsia" w:ascii="宋体" w:hAnsi="宋体" w:eastAsia="宋体" w:cs="宋体"/>
          <w:bCs/>
          <w:color w:val="000000"/>
          <w:sz w:val="21"/>
          <w:szCs w:val="21"/>
          <w:highlight w:val="none"/>
          <w:lang w:val="zh-CN"/>
        </w:rPr>
      </w:pPr>
      <w:r>
        <w:rPr>
          <w:rFonts w:hint="eastAsia" w:ascii="宋体" w:hAnsi="宋体" w:eastAsia="宋体" w:cs="宋体"/>
          <w:bCs/>
          <w:color w:val="000000"/>
          <w:sz w:val="21"/>
          <w:szCs w:val="21"/>
          <w:highlight w:val="none"/>
          <w:lang w:val="zh-CN"/>
        </w:rPr>
        <w:t xml:space="preserve">2</w:t>
      </w:r>
      <w:r>
        <w:rPr>
          <w:rFonts w:hint="eastAsia" w:ascii="宋体" w:hAnsi="宋体" w:eastAsia="宋体" w:cs="宋体"/>
          <w:bCs/>
          <w:color w:val="000000"/>
          <w:sz w:val="21"/>
          <w:szCs w:val="21"/>
          <w:highlight w:val="none"/>
          <w:lang w:val="en-US" w:eastAsia="zh-CN"/>
        </w:rPr>
        <w:t xml:space="preserve">5</w:t>
      </w:r>
      <w:r>
        <w:rPr>
          <w:rFonts w:hint="eastAsia" w:ascii="宋体" w:hAnsi="宋体" w:eastAsia="宋体" w:cs="宋体"/>
          <w:bCs/>
          <w:color w:val="000000"/>
          <w:sz w:val="21"/>
          <w:szCs w:val="21"/>
          <w:highlight w:val="none"/>
          <w:lang w:val="zh-CN"/>
        </w:rPr>
        <w:t xml:space="preserve">.1.2</w:t>
      </w:r>
      <w:r>
        <w:rPr>
          <w:rFonts w:hint="eastAsia" w:ascii="宋体" w:hAnsi="宋体" w:cs="宋体"/>
          <w:bCs/>
          <w:color w:val="000000"/>
          <w:sz w:val="21"/>
          <w:szCs w:val="21"/>
          <w:highlight w:val="none"/>
          <w:lang w:val="en-US" w:eastAsia="zh-CN"/>
        </w:rPr>
        <w:t xml:space="preserve">.</w:t>
      </w:r>
      <w:r>
        <w:rPr>
          <w:rFonts w:hint="eastAsia" w:ascii="宋体" w:hAnsi="宋体" w:eastAsia="宋体" w:cs="宋体"/>
          <w:bCs/>
          <w:color w:val="000000"/>
          <w:sz w:val="21"/>
          <w:szCs w:val="21"/>
          <w:highlight w:val="none"/>
          <w:lang w:val="zh-CN"/>
        </w:rPr>
        <w:t xml:space="preserve">6投标人的报价只投了部分内容；</w:t>
      </w:r>
      <w:r/>
    </w:p>
    <w:p>
      <w:pPr>
        <w:ind w:firstLine="420"/>
        <w:spacing w:line="360" w:lineRule="auto"/>
        <w:rPr>
          <w:rFonts w:hint="eastAsia" w:ascii="宋体" w:hAnsi="宋体" w:eastAsia="宋体" w:cs="宋体"/>
          <w:bCs/>
          <w:color w:val="000000"/>
          <w:sz w:val="21"/>
          <w:szCs w:val="21"/>
          <w:highlight w:val="none"/>
          <w:lang w:val="zh-CN"/>
        </w:rPr>
      </w:pPr>
      <w:r>
        <w:rPr>
          <w:rFonts w:hint="eastAsia" w:ascii="宋体" w:hAnsi="宋体" w:eastAsia="宋体" w:cs="宋体"/>
          <w:bCs/>
          <w:color w:val="000000"/>
          <w:sz w:val="21"/>
          <w:szCs w:val="21"/>
          <w:highlight w:val="none"/>
          <w:lang w:val="zh-CN"/>
        </w:rPr>
        <w:t xml:space="preserve">2</w:t>
      </w:r>
      <w:r>
        <w:rPr>
          <w:rFonts w:hint="eastAsia" w:ascii="宋体" w:hAnsi="宋体" w:eastAsia="宋体" w:cs="宋体"/>
          <w:bCs/>
          <w:color w:val="000000"/>
          <w:sz w:val="21"/>
          <w:szCs w:val="21"/>
          <w:highlight w:val="none"/>
          <w:lang w:val="en-US" w:eastAsia="zh-CN"/>
        </w:rPr>
        <w:t xml:space="preserve">5</w:t>
      </w:r>
      <w:r>
        <w:rPr>
          <w:rFonts w:hint="eastAsia" w:ascii="宋体" w:hAnsi="宋体" w:eastAsia="宋体" w:cs="宋体"/>
          <w:bCs/>
          <w:color w:val="000000"/>
          <w:sz w:val="21"/>
          <w:szCs w:val="21"/>
          <w:highlight w:val="none"/>
          <w:lang w:val="zh-CN"/>
        </w:rPr>
        <w:t xml:space="preserve">.1.2.7其他被评委会认定无效的情况。</w:t>
      </w:r>
      <w:r/>
    </w:p>
    <w:p>
      <w:pPr>
        <w:ind w:firstLine="420"/>
        <w:spacing w:line="360" w:lineRule="auto"/>
        <w:rPr>
          <w:rFonts w:hint="eastAsia" w:ascii="宋体" w:hAnsi="宋体" w:eastAsia="宋体" w:cs="宋体"/>
          <w:bCs/>
          <w:color w:val="000000"/>
          <w:sz w:val="21"/>
          <w:szCs w:val="21"/>
          <w:highlight w:val="none"/>
          <w:lang w:val="zh-CN"/>
        </w:rPr>
      </w:pPr>
      <w:r>
        <w:rPr>
          <w:rFonts w:hint="eastAsia" w:ascii="宋体" w:hAnsi="宋体" w:eastAsia="宋体" w:cs="宋体"/>
          <w:bCs/>
          <w:color w:val="000000"/>
          <w:sz w:val="21"/>
          <w:szCs w:val="21"/>
          <w:highlight w:val="none"/>
          <w:lang w:val="zh-CN"/>
        </w:rPr>
        <w:t xml:space="preserve">2</w:t>
      </w:r>
      <w:r>
        <w:rPr>
          <w:rFonts w:hint="eastAsia" w:ascii="宋体" w:hAnsi="宋体" w:eastAsia="宋体" w:cs="宋体"/>
          <w:bCs/>
          <w:color w:val="000000"/>
          <w:sz w:val="21"/>
          <w:szCs w:val="21"/>
          <w:highlight w:val="none"/>
          <w:lang w:val="en-US" w:eastAsia="zh-CN"/>
        </w:rPr>
        <w:t xml:space="preserve">5</w:t>
      </w:r>
      <w:r>
        <w:rPr>
          <w:rFonts w:hint="eastAsia" w:ascii="宋体" w:hAnsi="宋体" w:eastAsia="宋体" w:cs="宋体"/>
          <w:bCs/>
          <w:color w:val="000000"/>
          <w:sz w:val="21"/>
          <w:szCs w:val="21"/>
          <w:highlight w:val="none"/>
          <w:lang w:val="zh-CN"/>
        </w:rPr>
        <w:t xml:space="preserve">.1.3未通过资格审查或符合性审查的投标单位，代理机构将在苏采云系统中告知未通过资格审查或符合性审查的原因，评审结束后，代理机构将不再告知未通过资格审查或符合性审查的原因。</w:t>
      </w:r>
      <w:r/>
    </w:p>
    <w:p>
      <w:pPr>
        <w:ind w:firstLine="420"/>
        <w:spacing w:line="360" w:lineRule="auto"/>
        <w:rPr>
          <w:rFonts w:hint="eastAsia" w:ascii="宋体" w:hAnsi="宋体" w:eastAsia="宋体" w:cs="宋体"/>
          <w:bCs/>
          <w:color w:val="000000"/>
          <w:sz w:val="21"/>
          <w:szCs w:val="21"/>
          <w:highlight w:val="none"/>
          <w:lang w:val="zh-CN"/>
        </w:rPr>
      </w:pPr>
      <w:r>
        <w:rPr>
          <w:rFonts w:hint="eastAsia" w:ascii="宋体" w:hAnsi="宋体" w:eastAsia="宋体" w:cs="宋体"/>
          <w:bCs/>
          <w:color w:val="000000"/>
          <w:sz w:val="21"/>
          <w:szCs w:val="21"/>
          <w:highlight w:val="none"/>
          <w:lang w:val="zh-CN"/>
        </w:rPr>
        <w:t xml:space="preserve">2</w:t>
      </w:r>
      <w:r>
        <w:rPr>
          <w:rFonts w:hint="eastAsia" w:ascii="宋体" w:hAnsi="宋体" w:eastAsia="宋体" w:cs="宋体"/>
          <w:bCs/>
          <w:color w:val="000000"/>
          <w:sz w:val="21"/>
          <w:szCs w:val="21"/>
          <w:highlight w:val="none"/>
          <w:lang w:val="en-US" w:eastAsia="zh-CN"/>
        </w:rPr>
        <w:t xml:space="preserve">5</w:t>
      </w:r>
      <w:r>
        <w:rPr>
          <w:rFonts w:hint="eastAsia" w:ascii="宋体" w:hAnsi="宋体" w:eastAsia="宋体" w:cs="宋体"/>
          <w:bCs/>
          <w:color w:val="000000"/>
          <w:sz w:val="21"/>
          <w:szCs w:val="21"/>
          <w:highlight w:val="non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所谓重大偏离或保留是指与招标文件规定的实质性要求存在负偏离，或者在实质上与招标文件不一致，而且限制了合同中采购人的权利或投标单位的义务，纠正这些偏离或保留将会对其他实质性响应要求的投标单位的竞争地位产生不公正的影响。重大偏离的认定需经过评标委员会以少数服从多数的原则作出结论。评委决定投标文件的响应性只根据投标文件本身的内容，而不寻求外部的证据。</w:t>
      </w:r>
      <w:r/>
    </w:p>
    <w:p>
      <w:pPr>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zh-CN"/>
        </w:rPr>
        <w:t xml:space="preserve">.3如果投标文件实质上没有响应招标文件的要求，评标委员会将予以拒绝，投标单位不得通过修改或撤销不合要求的偏离或保留而使其投标成为实质性响应的投标。</w:t>
      </w:r>
      <w:r/>
    </w:p>
    <w:p>
      <w:pPr>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zh-CN"/>
        </w:rPr>
        <w:t xml:space="preserve">.4</w:t>
      </w:r>
      <w:r>
        <w:rPr>
          <w:rFonts w:hint="eastAsia" w:ascii="宋体" w:hAnsi="宋体" w:eastAsia="宋体" w:cs="宋体"/>
          <w:color w:val="000000"/>
          <w:sz w:val="21"/>
          <w:szCs w:val="21"/>
          <w:highlight w:val="none"/>
        </w:rPr>
        <w:t xml:space="preserve">评标委员</w:t>
      </w:r>
      <w:r>
        <w:rPr>
          <w:rFonts w:hint="eastAsia" w:ascii="宋体" w:hAnsi="宋体" w:eastAsia="宋体" w:cs="宋体"/>
          <w:color w:val="000000"/>
          <w:sz w:val="21"/>
          <w:szCs w:val="21"/>
          <w:highlight w:val="none"/>
          <w:lang w:val="zh-CN"/>
        </w:rPr>
        <w:t xml:space="preserve">会将对确定为实质性响应的投标进行进一步审核，看其是否有计算上或累加上的算术错误，修正错误的原则如下：</w:t>
      </w:r>
      <w:r/>
    </w:p>
    <w:p>
      <w:pPr>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（1）投标文件中开标一览表内容与投标文件中相应内容不一致的，以开标一览表为准。</w:t>
      </w:r>
      <w:r/>
    </w:p>
    <w:p>
      <w:pPr>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（2）大写金额和小写金额不一致的，以大写金额为准。</w:t>
      </w:r>
      <w:r/>
    </w:p>
    <w:p>
      <w:pPr>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（3）单价金额小数点或者百分比有明显错位的，以开标一览表的总价为准，并修改单价。</w:t>
      </w:r>
      <w:r/>
    </w:p>
    <w:p>
      <w:pPr>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（4）总价金额与按单价汇总金额不一致的，以单价金额计算结果为准。</w:t>
      </w:r>
      <w:r/>
    </w:p>
    <w:p>
      <w:pPr>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同时出现两种以上错误的，按照前款规定的顺序修正。</w:t>
      </w:r>
      <w:r/>
    </w:p>
    <w:p>
      <w:pPr>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zh-CN"/>
        </w:rPr>
        <w:t xml:space="preserve">.5评标委员会将按上述修正错误的方法调整投标文件中的投标报价，并通过苏采云系统告知投标单位，调整后的价格应对投标单位具有约束力。如果投标单位不接受修正后的价格，则其投标将被拒绝。</w:t>
      </w:r>
      <w:r/>
    </w:p>
    <w:p>
      <w:pPr>
        <w:ind w:firstLine="422"/>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b/>
          <w:color w:val="000000"/>
          <w:sz w:val="21"/>
          <w:szCs w:val="21"/>
          <w:highlight w:val="none"/>
          <w:lang w:val="zh-CN"/>
        </w:rPr>
        <w:t xml:space="preserve">2</w:t>
      </w:r>
      <w:r>
        <w:rPr>
          <w:rFonts w:hint="eastAsia" w:ascii="宋体" w:hAnsi="宋体" w:eastAsia="宋体" w:cs="宋体"/>
          <w:b/>
          <w:color w:val="000000"/>
          <w:sz w:val="21"/>
          <w:szCs w:val="21"/>
          <w:highlight w:val="none"/>
          <w:lang w:val="en-US" w:eastAsia="zh-CN"/>
        </w:rPr>
        <w:t xml:space="preserve">5</w:t>
      </w:r>
      <w:r>
        <w:rPr>
          <w:rFonts w:hint="eastAsia" w:ascii="宋体" w:hAnsi="宋体" w:eastAsia="宋体" w:cs="宋体"/>
          <w:b/>
          <w:color w:val="000000"/>
          <w:sz w:val="21"/>
          <w:szCs w:val="21"/>
          <w:highlight w:val="none"/>
          <w:lang w:val="zh-CN"/>
        </w:rPr>
        <w:t xml:space="preserve">.6评标委员会认为投标单位的报价明显低于其他通过符合性审查投标单位的报价，有可能影响</w:t>
      </w:r>
      <w:r>
        <w:rPr>
          <w:rFonts w:hint="eastAsia" w:ascii="宋体" w:hAnsi="宋体" w:eastAsia="宋体" w:cs="宋体"/>
          <w:b/>
          <w:color w:val="000000"/>
          <w:sz w:val="21"/>
          <w:szCs w:val="21"/>
          <w:highlight w:val="none"/>
        </w:rPr>
        <w:t xml:space="preserve">服务</w:t>
      </w:r>
      <w:r>
        <w:rPr>
          <w:rFonts w:hint="eastAsia" w:ascii="宋体" w:hAnsi="宋体" w:eastAsia="宋体" w:cs="宋体"/>
          <w:b/>
          <w:color w:val="000000"/>
          <w:sz w:val="21"/>
          <w:szCs w:val="21"/>
          <w:highlight w:val="none"/>
          <w:lang w:val="zh-CN"/>
        </w:rPr>
        <w:t xml:space="preserve">质量或者不能诚信履约的，应当要求其在评标现场合理的时间内提供书面说明，必要时提交相关证明材料；投标单位不能证明其报价合理性的，评标委员会应当将其作为无效投标处理。</w:t>
      </w:r>
      <w:r/>
    </w:p>
    <w:p>
      <w:pPr>
        <w:ind w:firstLine="48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zh-CN"/>
        </w:rPr>
        <w:t xml:space="preserve">.7除上述情形外，对电子投标文件的判定，只依据电子投标文件本身，不依靠开标后的任何外来证明。</w:t>
      </w:r>
      <w:r/>
    </w:p>
    <w:p>
      <w:pPr>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lang w:val="zh-CN"/>
        </w:rPr>
        <w:t xml:space="preserve">投标单位在开、评标全过程中应保持通讯畅通，及时登录苏采云系统查阅、答复相关信息，并安排专人与代理机构及评标委员会联系。</w:t>
      </w:r>
      <w:r/>
    </w:p>
    <w:p>
      <w:pPr>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2</w:t>
      </w:r>
      <w:r>
        <w:rPr>
          <w:rFonts w:hint="eastAsia" w:ascii="宋体" w:hAnsi="宋体" w:eastAsia="宋体" w:cs="宋体"/>
          <w:b/>
          <w:color w:val="000000"/>
          <w:sz w:val="21"/>
          <w:szCs w:val="21"/>
          <w:highlight w:val="none"/>
          <w:lang w:val="en-US" w:eastAsia="zh-CN"/>
        </w:rPr>
        <w:t xml:space="preserve">6</w:t>
      </w:r>
      <w:r>
        <w:rPr>
          <w:rFonts w:hint="eastAsia" w:ascii="宋体" w:hAnsi="宋体" w:eastAsia="宋体" w:cs="宋体"/>
          <w:b/>
          <w:color w:val="000000"/>
          <w:sz w:val="21"/>
          <w:szCs w:val="21"/>
          <w:highlight w:val="none"/>
        </w:rPr>
        <w:t xml:space="preserve">.投标的澄清</w:t>
      </w:r>
      <w:r/>
    </w:p>
    <w:p>
      <w:pPr>
        <w:ind w:firstLine="480"/>
        <w:spacing w:line="360" w:lineRule="auto"/>
        <w:rPr>
          <w:rFonts w:hint="eastAsia" w:ascii="宋体" w:hAnsi="宋体" w:eastAsia="宋体" w:cs="宋体"/>
          <w:bCs/>
          <w:color w:val="000000"/>
          <w:sz w:val="21"/>
          <w:szCs w:val="21"/>
          <w:highlight w:val="none"/>
          <w:lang w:val="zh-CN"/>
        </w:rPr>
      </w:pPr>
      <w:r>
        <w:rPr>
          <w:rFonts w:hint="eastAsia" w:ascii="宋体" w:hAnsi="宋体" w:eastAsia="宋体" w:cs="宋体"/>
          <w:bCs/>
          <w:color w:val="000000"/>
          <w:sz w:val="21"/>
          <w:szCs w:val="21"/>
          <w:highlight w:val="none"/>
          <w:lang w:val="zh-CN"/>
        </w:rPr>
        <w:t xml:space="preserve">2</w:t>
      </w:r>
      <w:r>
        <w:rPr>
          <w:rFonts w:hint="eastAsia" w:ascii="宋体" w:hAnsi="宋体" w:cs="宋体"/>
          <w:bCs/>
          <w:color w:val="000000"/>
          <w:sz w:val="21"/>
          <w:szCs w:val="21"/>
          <w:highlight w:val="none"/>
          <w:lang w:val="en-US" w:eastAsia="zh-CN"/>
        </w:rPr>
        <w:t xml:space="preserve">6</w:t>
      </w:r>
      <w:r>
        <w:rPr>
          <w:rFonts w:hint="eastAsia" w:ascii="宋体" w:hAnsi="宋体" w:eastAsia="宋体" w:cs="宋体"/>
          <w:bCs/>
          <w:color w:val="000000"/>
          <w:sz w:val="21"/>
          <w:szCs w:val="21"/>
          <w:highlight w:val="none"/>
          <w:lang w:val="zh-CN"/>
        </w:rPr>
        <w:t xml:space="preserve">.1对于投标文件中含义不明确、同类问题表述不一致或者有明显文字和计算错误的内容，评标委员会应当以书面形式要求投标人作出必要的澄清、说明或者补正。</w:t>
      </w:r>
      <w:r/>
    </w:p>
    <w:p>
      <w:pPr>
        <w:ind w:firstLine="480"/>
        <w:spacing w:line="360" w:lineRule="auto"/>
        <w:rPr>
          <w:rFonts w:hint="eastAsia" w:ascii="宋体" w:hAnsi="宋体" w:eastAsia="宋体" w:cs="宋体"/>
          <w:bCs/>
          <w:color w:val="000000"/>
          <w:sz w:val="21"/>
          <w:szCs w:val="21"/>
          <w:highlight w:val="none"/>
          <w:lang w:val="zh-CN"/>
        </w:rPr>
      </w:pPr>
      <w:r>
        <w:rPr>
          <w:rFonts w:hint="eastAsia" w:ascii="宋体" w:hAnsi="宋体" w:eastAsia="宋体" w:cs="宋体"/>
          <w:bCs/>
          <w:color w:val="000000"/>
          <w:sz w:val="21"/>
          <w:szCs w:val="21"/>
          <w:highlight w:val="none"/>
          <w:lang w:val="zh-CN"/>
        </w:rPr>
        <w:t xml:space="preserve">2</w:t>
      </w:r>
      <w:r>
        <w:rPr>
          <w:rFonts w:hint="eastAsia" w:ascii="宋体" w:hAnsi="宋体" w:cs="宋体"/>
          <w:bCs/>
          <w:color w:val="000000"/>
          <w:sz w:val="21"/>
          <w:szCs w:val="21"/>
          <w:highlight w:val="none"/>
          <w:lang w:val="en-US" w:eastAsia="zh-CN"/>
        </w:rPr>
        <w:t xml:space="preserve">6</w:t>
      </w:r>
      <w:r>
        <w:rPr>
          <w:rFonts w:hint="eastAsia" w:ascii="宋体" w:hAnsi="宋体" w:eastAsia="宋体" w:cs="宋体"/>
          <w:bCs/>
          <w:color w:val="000000"/>
          <w:sz w:val="21"/>
          <w:szCs w:val="21"/>
          <w:highlight w:val="none"/>
          <w:lang w:val="zh-CN"/>
        </w:rPr>
        <w:t xml:space="preserve">.2投标人的澄清、说明或者补正应当采用书面形式，并加盖其单位电子公章。投标人的澄清、说明或者补正不得超出投标文件的范围或者改变投标文件的实质性内容。</w:t>
      </w:r>
      <w:r/>
    </w:p>
    <w:p>
      <w:pPr>
        <w:ind w:firstLine="480"/>
        <w:spacing w:line="360" w:lineRule="auto"/>
        <w:rPr>
          <w:rFonts w:hint="eastAsia" w:ascii="宋体" w:hAnsi="宋体" w:eastAsia="宋体" w:cs="宋体"/>
          <w:bCs/>
          <w:color w:val="000000"/>
          <w:sz w:val="21"/>
          <w:szCs w:val="21"/>
          <w:highlight w:val="none"/>
          <w:lang w:val="zh-CN"/>
        </w:rPr>
      </w:pPr>
      <w:r>
        <w:rPr>
          <w:rFonts w:hint="eastAsia" w:ascii="宋体" w:hAnsi="宋体" w:eastAsia="宋体" w:cs="宋体"/>
          <w:bCs/>
          <w:color w:val="000000"/>
          <w:sz w:val="21"/>
          <w:szCs w:val="21"/>
          <w:highlight w:val="none"/>
          <w:lang w:val="zh-CN"/>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供应商应随时保持系统在线，如因供应商自身原因未在规定时间内提交澄清确认资料的，导致的不利后果由供应商自行承担。</w:t>
      </w:r>
      <w:r/>
    </w:p>
    <w:p>
      <w:pPr>
        <w:spacing w:line="360" w:lineRule="auto"/>
        <w:rPr>
          <w:rFonts w:hint="default"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27.</w:t>
      </w:r>
      <w:r>
        <w:rPr>
          <w:rFonts w:hint="eastAsia" w:ascii="宋体" w:hAnsi="宋体" w:cs="宋体"/>
          <w:b/>
          <w:color w:val="000000"/>
          <w:sz w:val="21"/>
          <w:szCs w:val="21"/>
          <w:highlight w:val="none"/>
          <w:lang w:val="en-US" w:eastAsia="zh-CN"/>
        </w:rPr>
        <w:t xml:space="preserve">无效投标和</w:t>
      </w:r>
      <w:r>
        <w:rPr>
          <w:rFonts w:hint="eastAsia" w:ascii="宋体" w:hAnsi="宋体" w:eastAsia="宋体" w:cs="宋体"/>
          <w:b/>
          <w:color w:val="000000"/>
          <w:sz w:val="21"/>
          <w:szCs w:val="21"/>
          <w:highlight w:val="none"/>
          <w:lang w:val="zh-CN"/>
        </w:rPr>
        <w:t xml:space="preserve">废标</w:t>
      </w:r>
      <w:r>
        <w:rPr>
          <w:rFonts w:hint="eastAsia" w:ascii="宋体" w:hAnsi="宋体" w:cs="宋体"/>
          <w:b/>
          <w:color w:val="000000"/>
          <w:sz w:val="21"/>
          <w:szCs w:val="21"/>
          <w:highlight w:val="none"/>
          <w:lang w:val="en-US" w:eastAsia="zh-CN"/>
        </w:rPr>
        <w:t xml:space="preserve">的情形</w:t>
      </w:r>
      <w:r/>
    </w:p>
    <w:p>
      <w:pPr>
        <w:ind w:firstLine="480"/>
        <w:spacing w:line="360" w:lineRule="auto"/>
        <w:rPr>
          <w:rFonts w:hint="default" w:ascii="宋体" w:hAnsi="宋体" w:eastAsia="宋体" w:cs="宋体"/>
          <w:bCs/>
          <w:color w:val="000000"/>
          <w:sz w:val="21"/>
          <w:szCs w:val="21"/>
          <w:highlight w:val="none"/>
          <w:lang w:val="en-US" w:eastAsia="zh-CN"/>
        </w:rPr>
      </w:pPr>
      <w:r>
        <w:rPr>
          <w:rFonts w:hint="eastAsia" w:ascii="宋体" w:hAnsi="宋体" w:cs="宋体"/>
          <w:bCs/>
          <w:color w:val="000000"/>
          <w:sz w:val="21"/>
          <w:szCs w:val="21"/>
          <w:highlight w:val="none"/>
          <w:lang w:val="en-US" w:eastAsia="zh-CN"/>
        </w:rPr>
        <w:t xml:space="preserve">无效投标的情形：</w:t>
      </w:r>
      <w:r/>
    </w:p>
    <w:p>
      <w:pPr>
        <w:ind w:firstLine="480"/>
        <w:spacing w:line="36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2</w:t>
      </w:r>
      <w:r>
        <w:rPr>
          <w:rFonts w:hint="eastAsia" w:ascii="宋体" w:hAnsi="宋体" w:cs="宋体"/>
          <w:bCs/>
          <w:color w:val="000000"/>
          <w:sz w:val="21"/>
          <w:szCs w:val="21"/>
          <w:highlight w:val="none"/>
          <w:lang w:val="en-US" w:eastAsia="zh-CN"/>
        </w:rPr>
        <w:t xml:space="preserve">7</w:t>
      </w:r>
      <w:r>
        <w:rPr>
          <w:rFonts w:hint="eastAsia" w:ascii="宋体" w:hAnsi="宋体" w:eastAsia="宋体" w:cs="宋体"/>
          <w:bCs/>
          <w:color w:val="000000"/>
          <w:sz w:val="21"/>
          <w:szCs w:val="21"/>
          <w:highlight w:val="none"/>
          <w:lang w:val="en-US" w:eastAsia="zh-CN"/>
        </w:rPr>
        <w:t xml:space="preserve">.1未按照招标文件的规定提交《投标（响应）保证承诺书》；</w:t>
      </w:r>
      <w:r/>
    </w:p>
    <w:p>
      <w:pPr>
        <w:ind w:firstLine="480"/>
        <w:spacing w:line="36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2</w:t>
      </w:r>
      <w:r>
        <w:rPr>
          <w:rFonts w:hint="eastAsia" w:ascii="宋体" w:hAnsi="宋体" w:cs="宋体"/>
          <w:bCs/>
          <w:color w:val="000000"/>
          <w:sz w:val="21"/>
          <w:szCs w:val="21"/>
          <w:highlight w:val="none"/>
          <w:lang w:val="en-US" w:eastAsia="zh-CN"/>
        </w:rPr>
        <w:t xml:space="preserve">7</w:t>
      </w:r>
      <w:r>
        <w:rPr>
          <w:rFonts w:hint="eastAsia" w:ascii="宋体" w:hAnsi="宋体" w:eastAsia="宋体" w:cs="宋体"/>
          <w:bCs/>
          <w:color w:val="000000"/>
          <w:sz w:val="21"/>
          <w:szCs w:val="21"/>
          <w:highlight w:val="none"/>
          <w:lang w:val="en-US" w:eastAsia="zh-CN"/>
        </w:rPr>
        <w:t xml:space="preserve">.2投标文件未按招标文件要求签署、盖章的；</w:t>
      </w:r>
      <w:r/>
    </w:p>
    <w:p>
      <w:pPr>
        <w:ind w:firstLine="480"/>
        <w:spacing w:line="36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27.3不具备招标文件中规定的资格要求的；</w:t>
      </w:r>
      <w:r/>
    </w:p>
    <w:p>
      <w:pPr>
        <w:ind w:firstLine="480"/>
        <w:spacing w:line="36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27.4报价超过招标文件中规定的预算金额或者最高限价的；</w:t>
      </w:r>
      <w:r/>
    </w:p>
    <w:p>
      <w:pPr>
        <w:ind w:firstLine="480"/>
        <w:spacing w:line="36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27.5投标文件含有采购单位不能接受的附加条件的；</w:t>
      </w:r>
      <w:r/>
    </w:p>
    <w:p>
      <w:pPr>
        <w:ind w:firstLine="480"/>
        <w:spacing w:line="36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27.6不同投标（响应）文件制作机器码一致的；</w:t>
      </w:r>
      <w:r/>
    </w:p>
    <w:p>
      <w:pPr>
        <w:ind w:firstLine="480"/>
        <w:spacing w:line="36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27.7法律、法规和招标文件规定的其他无效情形。</w:t>
      </w:r>
      <w:r/>
    </w:p>
    <w:p>
      <w:pPr>
        <w:ind w:firstLine="480"/>
        <w:spacing w:line="36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废标的情形：</w:t>
      </w:r>
      <w:r/>
    </w:p>
    <w:p>
      <w:pPr>
        <w:ind w:firstLine="480"/>
        <w:spacing w:line="360" w:lineRule="auto"/>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en-US" w:eastAsia="zh-CN"/>
        </w:rPr>
        <w:t xml:space="preserve">27</w:t>
      </w:r>
      <w:r>
        <w:rPr>
          <w:rFonts w:hint="eastAsia" w:ascii="宋体" w:hAnsi="宋体" w:eastAsia="宋体" w:cs="宋体"/>
          <w:bCs/>
          <w:color w:val="000000"/>
          <w:sz w:val="21"/>
          <w:szCs w:val="21"/>
          <w:highlight w:val="none"/>
          <w:lang w:val="zh-CN" w:eastAsia="zh-CN"/>
        </w:rPr>
        <w:t xml:space="preserve">.</w:t>
      </w:r>
      <w:r>
        <w:rPr>
          <w:rFonts w:hint="eastAsia" w:ascii="宋体" w:hAnsi="宋体" w:cs="宋体"/>
          <w:bCs/>
          <w:color w:val="000000"/>
          <w:sz w:val="21"/>
          <w:szCs w:val="21"/>
          <w:highlight w:val="none"/>
          <w:lang w:val="en-US" w:eastAsia="zh-CN"/>
        </w:rPr>
        <w:t xml:space="preserve">8</w:t>
      </w:r>
      <w:r>
        <w:rPr>
          <w:rFonts w:hint="eastAsia" w:ascii="宋体" w:hAnsi="宋体" w:eastAsia="宋体" w:cs="宋体"/>
          <w:bCs/>
          <w:color w:val="000000"/>
          <w:sz w:val="21"/>
          <w:szCs w:val="21"/>
          <w:highlight w:val="none"/>
          <w:lang w:val="zh-CN" w:eastAsia="zh-CN"/>
        </w:rPr>
        <w:t xml:space="preserve">符合专业条件的供应商或者对招标文件作实质响应的供应商不足三家的。27.2.2出现影响采购公正的违法、违规行为的。</w:t>
      </w:r>
      <w:r/>
    </w:p>
    <w:p>
      <w:pPr>
        <w:ind w:firstLine="480"/>
        <w:spacing w:line="360" w:lineRule="auto"/>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en-US" w:eastAsia="zh-CN"/>
        </w:rPr>
        <w:t xml:space="preserve">27</w:t>
      </w:r>
      <w:r>
        <w:rPr>
          <w:rFonts w:hint="eastAsia" w:ascii="宋体" w:hAnsi="宋体" w:eastAsia="宋体" w:cs="宋体"/>
          <w:bCs/>
          <w:color w:val="000000"/>
          <w:sz w:val="21"/>
          <w:szCs w:val="21"/>
          <w:highlight w:val="none"/>
          <w:lang w:val="zh-CN" w:eastAsia="zh-CN"/>
        </w:rPr>
        <w:t xml:space="preserve">.</w:t>
      </w:r>
      <w:r>
        <w:rPr>
          <w:rFonts w:hint="eastAsia" w:ascii="宋体" w:hAnsi="宋体" w:cs="宋体"/>
          <w:bCs/>
          <w:color w:val="000000"/>
          <w:sz w:val="21"/>
          <w:szCs w:val="21"/>
          <w:highlight w:val="none"/>
          <w:lang w:val="en-US" w:eastAsia="zh-CN"/>
        </w:rPr>
        <w:t xml:space="preserve">9</w:t>
      </w:r>
      <w:r>
        <w:rPr>
          <w:rFonts w:hint="eastAsia" w:ascii="宋体" w:hAnsi="宋体" w:eastAsia="宋体" w:cs="宋体"/>
          <w:bCs/>
          <w:color w:val="000000"/>
          <w:sz w:val="21"/>
          <w:szCs w:val="21"/>
          <w:highlight w:val="none"/>
          <w:lang w:val="zh-CN" w:eastAsia="zh-CN"/>
        </w:rPr>
        <w:t xml:space="preserve">因重大变故，采购任务取消的。</w:t>
      </w:r>
      <w:r/>
    </w:p>
    <w:p>
      <w:pPr>
        <w:ind w:firstLine="480"/>
        <w:spacing w:line="360" w:lineRule="auto"/>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en-US" w:eastAsia="zh-CN"/>
        </w:rPr>
        <w:t xml:space="preserve">27</w:t>
      </w:r>
      <w:r>
        <w:rPr>
          <w:rFonts w:hint="eastAsia" w:ascii="宋体" w:hAnsi="宋体" w:eastAsia="宋体" w:cs="宋体"/>
          <w:bCs/>
          <w:color w:val="000000"/>
          <w:sz w:val="21"/>
          <w:szCs w:val="21"/>
          <w:highlight w:val="none"/>
          <w:lang w:val="zh-CN" w:eastAsia="zh-CN"/>
        </w:rPr>
        <w:t xml:space="preserve">.</w:t>
      </w:r>
      <w:r>
        <w:rPr>
          <w:rFonts w:hint="eastAsia" w:ascii="宋体" w:hAnsi="宋体" w:cs="宋体"/>
          <w:bCs/>
          <w:color w:val="000000"/>
          <w:sz w:val="21"/>
          <w:szCs w:val="21"/>
          <w:highlight w:val="none"/>
          <w:lang w:val="en-US" w:eastAsia="zh-CN"/>
        </w:rPr>
        <w:t xml:space="preserve">10</w:t>
      </w:r>
      <w:r>
        <w:rPr>
          <w:rFonts w:hint="eastAsia" w:ascii="宋体" w:hAnsi="宋体" w:eastAsia="宋体" w:cs="宋体"/>
          <w:bCs/>
          <w:color w:val="000000"/>
          <w:sz w:val="21"/>
          <w:szCs w:val="21"/>
          <w:highlight w:val="none"/>
          <w:lang w:val="zh-CN" w:eastAsia="zh-CN"/>
        </w:rPr>
        <w:t xml:space="preserve">评标委员会认定招标文件存在歧义、重大缺陷导致评审工作无法进行。</w:t>
      </w:r>
      <w:r/>
    </w:p>
    <w:p>
      <w:pPr>
        <w:ind w:firstLine="480"/>
        <w:spacing w:line="360" w:lineRule="auto"/>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en-US" w:eastAsia="zh-CN"/>
        </w:rPr>
        <w:t xml:space="preserve">27</w:t>
      </w:r>
      <w:r>
        <w:rPr>
          <w:rFonts w:hint="eastAsia" w:ascii="宋体" w:hAnsi="宋体" w:eastAsia="宋体" w:cs="宋体"/>
          <w:bCs/>
          <w:color w:val="000000"/>
          <w:sz w:val="21"/>
          <w:szCs w:val="21"/>
          <w:highlight w:val="none"/>
          <w:lang w:val="zh-CN" w:eastAsia="zh-CN"/>
        </w:rPr>
        <w:t xml:space="preserve">.</w:t>
      </w:r>
      <w:r>
        <w:rPr>
          <w:rFonts w:hint="eastAsia" w:ascii="宋体" w:hAnsi="宋体" w:cs="宋体"/>
          <w:bCs/>
          <w:color w:val="000000"/>
          <w:sz w:val="21"/>
          <w:szCs w:val="21"/>
          <w:highlight w:val="none"/>
          <w:lang w:val="en-US" w:eastAsia="zh-CN"/>
        </w:rPr>
        <w:t xml:space="preserve">11</w:t>
      </w:r>
      <w:r>
        <w:rPr>
          <w:rFonts w:hint="eastAsia" w:ascii="宋体" w:hAnsi="宋体" w:eastAsia="宋体" w:cs="宋体"/>
          <w:bCs/>
          <w:color w:val="000000"/>
          <w:sz w:val="21"/>
          <w:szCs w:val="21"/>
          <w:highlight w:val="none"/>
          <w:lang w:val="zh-CN" w:eastAsia="zh-CN"/>
        </w:rPr>
        <w:t xml:space="preserve">因苏采云系统系统故障原因造成开标不成功的。</w:t>
      </w:r>
      <w:r/>
    </w:p>
    <w:p>
      <w:pPr>
        <w:ind w:firstLine="480"/>
        <w:spacing w:line="360" w:lineRule="auto"/>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en-US" w:eastAsia="zh-CN"/>
        </w:rPr>
        <w:t xml:space="preserve">27</w:t>
      </w:r>
      <w:r>
        <w:rPr>
          <w:rFonts w:hint="eastAsia" w:ascii="宋体" w:hAnsi="宋体" w:eastAsia="宋体" w:cs="宋体"/>
          <w:bCs/>
          <w:color w:val="000000"/>
          <w:sz w:val="21"/>
          <w:szCs w:val="21"/>
          <w:highlight w:val="none"/>
          <w:lang w:val="zh-CN" w:eastAsia="zh-CN"/>
        </w:rPr>
        <w:t xml:space="preserve">.</w:t>
      </w:r>
      <w:r>
        <w:rPr>
          <w:rFonts w:hint="eastAsia" w:ascii="宋体" w:hAnsi="宋体" w:cs="宋体"/>
          <w:bCs/>
          <w:color w:val="000000"/>
          <w:sz w:val="21"/>
          <w:szCs w:val="21"/>
          <w:highlight w:val="none"/>
          <w:lang w:val="en-US" w:eastAsia="zh-CN"/>
        </w:rPr>
        <w:t xml:space="preserve">12</w:t>
      </w:r>
      <w:r>
        <w:rPr>
          <w:rFonts w:hint="eastAsia" w:ascii="宋体" w:hAnsi="宋体" w:eastAsia="宋体" w:cs="宋体"/>
          <w:bCs/>
          <w:color w:val="000000"/>
          <w:sz w:val="21"/>
          <w:szCs w:val="21"/>
          <w:highlight w:val="none"/>
          <w:lang w:val="zh-CN" w:eastAsia="zh-CN"/>
        </w:rPr>
        <w:t xml:space="preserve">投标截止时间结束后参加投标的供应商不足三家的处理：</w:t>
      </w:r>
      <w:r/>
    </w:p>
    <w:p>
      <w:pPr>
        <w:ind w:firstLine="480"/>
        <w:spacing w:line="360" w:lineRule="auto"/>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en-US" w:eastAsia="zh-CN"/>
        </w:rPr>
        <w:t xml:space="preserve">27</w:t>
      </w:r>
      <w:r>
        <w:rPr>
          <w:rFonts w:hint="eastAsia" w:ascii="宋体" w:hAnsi="宋体" w:eastAsia="宋体" w:cs="宋体"/>
          <w:bCs/>
          <w:color w:val="000000"/>
          <w:sz w:val="21"/>
          <w:szCs w:val="21"/>
          <w:highlight w:val="none"/>
          <w:lang w:val="zh-CN" w:eastAsia="zh-CN"/>
        </w:rPr>
        <w:t xml:space="preserve">.</w:t>
      </w:r>
      <w:r>
        <w:rPr>
          <w:rFonts w:hint="eastAsia" w:ascii="宋体" w:hAnsi="宋体" w:cs="宋体"/>
          <w:bCs/>
          <w:color w:val="000000"/>
          <w:sz w:val="21"/>
          <w:szCs w:val="21"/>
          <w:highlight w:val="none"/>
          <w:lang w:val="en-US" w:eastAsia="zh-CN"/>
        </w:rPr>
        <w:t xml:space="preserve">13</w:t>
      </w:r>
      <w:r>
        <w:rPr>
          <w:rFonts w:hint="eastAsia" w:ascii="宋体" w:hAnsi="宋体" w:eastAsia="宋体" w:cs="宋体"/>
          <w:bCs/>
          <w:color w:val="000000"/>
          <w:sz w:val="21"/>
          <w:szCs w:val="21"/>
          <w:highlight w:val="none"/>
          <w:lang w:val="zh-CN" w:eastAsia="zh-CN"/>
        </w:rPr>
        <w:t xml:space="preserve">如出现投标截止时间结束后参加投标的供应商或者在评标期间对招标文件做出实质响应的供应商不足三家情况，按政府采购相关规定执行。</w:t>
      </w:r>
      <w:r/>
    </w:p>
    <w:p>
      <w:pPr>
        <w:spacing w:line="360" w:lineRule="auto"/>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en-US" w:eastAsia="zh-CN"/>
        </w:rPr>
        <w:t xml:space="preserve">28.</w:t>
      </w:r>
      <w:r>
        <w:rPr>
          <w:rFonts w:hint="eastAsia" w:ascii="宋体" w:hAnsi="宋体" w:eastAsia="宋体" w:cs="宋体"/>
          <w:b/>
          <w:bCs/>
          <w:color w:val="000000"/>
          <w:sz w:val="21"/>
          <w:szCs w:val="21"/>
          <w:highlight w:val="none"/>
          <w:lang w:val="zh-CN"/>
        </w:rPr>
        <w:t xml:space="preserve">电子投标文件的评价和比较</w:t>
      </w:r>
      <w:r/>
    </w:p>
    <w:p>
      <w:pPr>
        <w:ind w:firstLine="48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28.1评标委员会将仅对按照本须知有关规定确定为实质上响应招标文件要求的投标文件进行评价和比较。</w:t>
      </w:r>
      <w:r/>
    </w:p>
    <w:p>
      <w:pPr>
        <w:ind w:firstLine="48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28.2评价和比较采用综合评分法，即指在最大限度地满足招标文件实质性要求的前提下，按照本招标文件中规定的评标方法和评分标准及其他各项因素进行综合评审后，以评标总得分最高的投标人作为中标候选人或中标单位的评标方法。评标委员会严格按照招标文件的要求、条件、评分标准，对投标人所提供的综合服务计划的科学性、可行性、服务质量保证承诺等实质性响应内容进行比较评价。</w:t>
      </w:r>
      <w:r/>
    </w:p>
    <w:p>
      <w:pPr>
        <w:ind w:firstLine="48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28.3 最低的投标报价是中标的重要条件但不是唯一条件。</w:t>
      </w:r>
      <w:r/>
    </w:p>
    <w:p>
      <w:pPr>
        <w:ind w:firstLine="48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28.4评标原则及方法</w:t>
      </w:r>
      <w:r/>
    </w:p>
    <w:p>
      <w:pPr>
        <w:ind w:firstLine="48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28.4.1公正、公平、公开、科学、择优。</w:t>
      </w:r>
      <w:r/>
    </w:p>
    <w:p>
      <w:pPr>
        <w:ind w:firstLine="48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28.4.2对所有投标文件的评审，均采用相同的程序和标准。</w:t>
      </w:r>
      <w:r/>
    </w:p>
    <w:p>
      <w:pPr>
        <w:ind w:firstLine="48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28.4.2.1评审方案的可行性、先进性、实用性以及风险等（含同类项目业绩，人员资质，实施本项目的资金能力、技术能力、履约能力和用户信誉等方面的从业表现等）。</w:t>
      </w:r>
      <w:r/>
    </w:p>
    <w:p>
      <w:pPr>
        <w:ind w:firstLine="48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28.4.2.2评审技术服务的承诺文件是否满足采购单位的要求。</w:t>
      </w:r>
      <w:r/>
    </w:p>
    <w:p>
      <w:pPr>
        <w:ind w:firstLine="48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28.4.2.3评委会根据评分标准（除报价）进行独立打分，招标代理机构进行汇总并按算术平均方法计算出各投标单位的得分，报价得分根据评分标准直接计算取得，评委得分与报价得分之和最高者为中标单位。</w:t>
      </w:r>
      <w:r/>
    </w:p>
    <w:p>
      <w:pPr>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rPr>
        <w:t xml:space="preserve">29</w:t>
      </w:r>
      <w:r>
        <w:rPr>
          <w:rFonts w:hint="eastAsia" w:ascii="宋体" w:hAnsi="宋体" w:eastAsia="宋体" w:cs="宋体"/>
          <w:b/>
          <w:color w:val="000000"/>
          <w:sz w:val="21"/>
          <w:szCs w:val="21"/>
          <w:highlight w:val="none"/>
        </w:rPr>
        <w:t xml:space="preserve">.中标单位的确认</w:t>
      </w:r>
      <w:r/>
    </w:p>
    <w:p>
      <w:pPr>
        <w:pStyle w:val="986"/>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29</w:t>
      </w:r>
      <w:r>
        <w:rPr>
          <w:rFonts w:hint="eastAsia" w:ascii="宋体" w:hAnsi="宋体" w:eastAsia="宋体" w:cs="宋体"/>
          <w:color w:val="000000"/>
          <w:sz w:val="21"/>
          <w:szCs w:val="21"/>
          <w:highlight w:val="none"/>
        </w:rPr>
        <w:t xml:space="preserve">.1评标委员会根据投标单位资格审查情况，投标文件的评价和比较，按照招标文件的评分标准进行打分并汇总评分结果。</w:t>
      </w:r>
      <w:r/>
    </w:p>
    <w:p>
      <w:pPr>
        <w:pStyle w:val="986"/>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29</w:t>
      </w:r>
      <w:r>
        <w:rPr>
          <w:rFonts w:hint="eastAsia" w:ascii="宋体" w:hAnsi="宋体" w:eastAsia="宋体" w:cs="宋体"/>
          <w:color w:val="000000"/>
          <w:sz w:val="21"/>
          <w:szCs w:val="21"/>
          <w:highlight w:val="none"/>
        </w:rPr>
        <w:t xml:space="preserve">.2 采购单位按评标委员会推荐的中标候选供应商确定中标供应商。 </w:t>
      </w:r>
      <w:r/>
    </w:p>
    <w:p>
      <w:pPr>
        <w:pStyle w:val="986"/>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29</w:t>
      </w:r>
      <w:r>
        <w:rPr>
          <w:rFonts w:hint="eastAsia" w:ascii="宋体" w:hAnsi="宋体" w:eastAsia="宋体" w:cs="宋体"/>
          <w:color w:val="000000"/>
          <w:sz w:val="21"/>
          <w:szCs w:val="21"/>
          <w:highlight w:val="none"/>
        </w:rPr>
        <w:t xml:space="preserve">.3 根据评标委员会推荐的中标候选人，采购代理机构在评标结束后规定时间内在政府采购信息媒体上发布“中标公告”。</w:t>
      </w:r>
      <w:r/>
    </w:p>
    <w:p>
      <w:pPr>
        <w:pStyle w:val="986"/>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29.</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zh-CN"/>
        </w:rPr>
        <w:t xml:space="preserve">政府采购合同履行中，采购单位需追加与合同标的相同的货物、工程或服务的，在不改变合同其他条款的前提下，可以与供应商协商签订补充合同，但所有补充合同的采购金额不得超过原合同采购金额的10%。</w:t>
      </w:r>
      <w:r/>
    </w:p>
    <w:p>
      <w:pPr>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rPr>
        <w:t xml:space="preserve">30</w:t>
      </w:r>
      <w:r>
        <w:rPr>
          <w:rFonts w:hint="eastAsia" w:ascii="宋体" w:hAnsi="宋体" w:eastAsia="宋体" w:cs="宋体"/>
          <w:b/>
          <w:color w:val="000000"/>
          <w:sz w:val="21"/>
          <w:szCs w:val="21"/>
          <w:highlight w:val="none"/>
        </w:rPr>
        <w:t xml:space="preserve">.中标人标准</w:t>
      </w:r>
      <w:r/>
    </w:p>
    <w:p>
      <w:pPr>
        <w:pStyle w:val="98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30</w:t>
      </w:r>
      <w:r>
        <w:rPr>
          <w:rFonts w:hint="eastAsia" w:ascii="宋体" w:hAnsi="宋体" w:eastAsia="宋体" w:cs="宋体"/>
          <w:color w:val="000000"/>
          <w:sz w:val="21"/>
          <w:szCs w:val="21"/>
          <w:highlight w:val="none"/>
        </w:rPr>
        <w:t xml:space="preserve">.1确定为中标的投标单位必须具有实施本合同的能力和资源。</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30</w:t>
      </w:r>
      <w:r>
        <w:rPr>
          <w:rFonts w:hint="eastAsia" w:ascii="宋体" w:hAnsi="宋体" w:eastAsia="宋体" w:cs="宋体"/>
          <w:color w:val="000000"/>
          <w:sz w:val="21"/>
          <w:szCs w:val="21"/>
          <w:highlight w:val="none"/>
        </w:rPr>
        <w:t xml:space="preserve">.2在合同签订之前，采购人和采购代理机构有权对中标单位的履约能力进行最后审查，如发现中标单位提供的投标文件和有关材料虚假或对招标书所要求说明的情况故意隐瞒或虚报，则有权取消其中标资格。</w:t>
      </w:r>
      <w:r/>
    </w:p>
    <w:p>
      <w:pPr>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3</w:t>
      </w:r>
      <w:r>
        <w:rPr>
          <w:rFonts w:hint="eastAsia" w:ascii="宋体" w:hAnsi="宋体" w:eastAsia="宋体" w:cs="宋体"/>
          <w:b/>
          <w:color w:val="000000"/>
          <w:sz w:val="21"/>
          <w:szCs w:val="21"/>
          <w:highlight w:val="none"/>
          <w:lang w:val="en-US" w:eastAsia="zh-CN"/>
        </w:rPr>
        <w:t xml:space="preserve">1</w:t>
      </w:r>
      <w:r>
        <w:rPr>
          <w:rFonts w:hint="eastAsia" w:ascii="宋体" w:hAnsi="宋体" w:eastAsia="宋体" w:cs="宋体"/>
          <w:b/>
          <w:color w:val="000000"/>
          <w:sz w:val="21"/>
          <w:szCs w:val="21"/>
          <w:highlight w:val="none"/>
        </w:rPr>
        <w:t xml:space="preserve">.中标通知书</w:t>
      </w:r>
      <w:r/>
    </w:p>
    <w:p>
      <w:pPr>
        <w:pStyle w:val="98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31</w:t>
      </w:r>
      <w:r>
        <w:rPr>
          <w:rFonts w:hint="eastAsia" w:ascii="宋体" w:hAnsi="宋体" w:eastAsia="宋体" w:cs="宋体"/>
          <w:color w:val="000000"/>
          <w:sz w:val="21"/>
          <w:szCs w:val="21"/>
          <w:highlight w:val="none"/>
        </w:rPr>
        <w:t xml:space="preserve">.1公示期满后确定中标单位，采购代理机构将以书面形式通知中标的投标单位其投标被接受。在中标通知书中给出中标单位的中标标价、交货时间、有关合同签订的期限和地点。</w:t>
      </w:r>
      <w:r/>
    </w:p>
    <w:p>
      <w:pPr>
        <w:pStyle w:val="98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31</w:t>
      </w:r>
      <w:r>
        <w:rPr>
          <w:rFonts w:hint="eastAsia" w:ascii="宋体" w:hAnsi="宋体" w:eastAsia="宋体" w:cs="宋体"/>
          <w:color w:val="000000"/>
          <w:sz w:val="21"/>
          <w:szCs w:val="21"/>
          <w:highlight w:val="none"/>
        </w:rPr>
        <w:t xml:space="preserve">.2中标通知书将成为合同的组成部分。</w:t>
      </w:r>
      <w:r/>
    </w:p>
    <w:p>
      <w:pPr>
        <w:pStyle w:val="98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31</w:t>
      </w:r>
      <w:r>
        <w:rPr>
          <w:rFonts w:hint="eastAsia" w:ascii="宋体" w:hAnsi="宋体" w:eastAsia="宋体" w:cs="宋体"/>
          <w:color w:val="000000"/>
          <w:sz w:val="21"/>
          <w:szCs w:val="21"/>
          <w:highlight w:val="none"/>
        </w:rPr>
        <w:t xml:space="preserve">.3采购代理机构对未中标单位不承担解释未中标原因的义务。</w:t>
      </w:r>
      <w:r/>
    </w:p>
    <w:p>
      <w:pPr>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rPr>
        <w:t xml:space="preserve">3</w:t>
      </w:r>
      <w:r>
        <w:rPr>
          <w:rFonts w:hint="eastAsia" w:ascii="宋体" w:hAnsi="宋体" w:cs="宋体"/>
          <w:b/>
          <w:color w:val="000000"/>
          <w:sz w:val="21"/>
          <w:szCs w:val="21"/>
          <w:highlight w:val="none"/>
          <w:lang w:val="en-US" w:eastAsia="zh-CN"/>
        </w:rPr>
        <w:t xml:space="preserve">2</w:t>
      </w:r>
      <w:r>
        <w:rPr>
          <w:rFonts w:hint="eastAsia" w:ascii="宋体" w:hAnsi="宋体" w:eastAsia="宋体" w:cs="宋体"/>
          <w:b/>
          <w:color w:val="000000"/>
          <w:sz w:val="21"/>
          <w:szCs w:val="21"/>
          <w:highlight w:val="none"/>
        </w:rPr>
        <w:t xml:space="preserve">.合同的签订</w:t>
      </w:r>
      <w:r/>
    </w:p>
    <w:p>
      <w:pPr>
        <w:pStyle w:val="986"/>
        <w:ind w:left="0" w:firstLine="48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33.1中标单位应按中标通知书中规定的期限和地点，由法定代表人或被授权人与甲方代表签订合同。</w:t>
      </w:r>
      <w:r/>
    </w:p>
    <w:p>
      <w:pPr>
        <w:pStyle w:val="986"/>
        <w:ind w:firstLine="48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33.2签订合同及合同条款应以招标文件和中标单位的投标文件为依据。</w:t>
      </w:r>
      <w:r/>
    </w:p>
    <w:p>
      <w:pPr>
        <w:spacing w:line="360" w:lineRule="auto"/>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zh-CN" w:eastAsia="zh-CN"/>
        </w:rPr>
        <w:t xml:space="preserve">3</w:t>
      </w:r>
      <w:r>
        <w:rPr>
          <w:rFonts w:hint="eastAsia" w:ascii="宋体" w:hAnsi="宋体" w:cs="宋体"/>
          <w:b/>
          <w:color w:val="000000"/>
          <w:sz w:val="21"/>
          <w:szCs w:val="21"/>
          <w:highlight w:val="none"/>
          <w:lang w:val="en-US" w:eastAsia="zh-CN"/>
        </w:rPr>
        <w:t xml:space="preserve">3</w:t>
      </w:r>
      <w:r>
        <w:rPr>
          <w:rFonts w:hint="eastAsia" w:ascii="宋体" w:hAnsi="宋体" w:eastAsia="宋体" w:cs="宋体"/>
          <w:b/>
          <w:color w:val="000000"/>
          <w:sz w:val="21"/>
          <w:szCs w:val="21"/>
          <w:highlight w:val="none"/>
          <w:lang w:val="zh-CN" w:eastAsia="zh-CN"/>
        </w:rPr>
        <w:t xml:space="preserve">.履约保证金</w:t>
      </w:r>
      <w:r>
        <w:rPr>
          <w:rFonts w:hint="eastAsia" w:ascii="宋体" w:hAnsi="宋体" w:cs="宋体"/>
          <w:b/>
          <w:color w:val="auto"/>
          <w:highlight w:val="none"/>
        </w:rPr>
        <w:t xml:space="preserve">：</w:t>
      </w:r>
      <w:r>
        <w:rPr>
          <w:rFonts w:hint="eastAsia" w:ascii="宋体" w:hAnsi="宋体" w:cs="宋体"/>
          <w:b/>
          <w:color w:val="auto"/>
          <w:highlight w:val="none"/>
          <w:lang w:val="en-US" w:eastAsia="zh-CN"/>
        </w:rPr>
        <w:t xml:space="preserve">不涉及</w:t>
      </w:r>
      <w:r>
        <w:rPr>
          <w:rFonts w:hint="eastAsia" w:ascii="宋体" w:hAnsi="宋体" w:cs="宋体"/>
          <w:b/>
          <w:color w:val="auto"/>
          <w:highlight w:val="none"/>
        </w:rPr>
        <w:t xml:space="preserve">。</w:t>
      </w:r>
      <w:r/>
    </w:p>
    <w:p>
      <w:pP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zh-CN"/>
        </w:rPr>
        <w:t xml:space="preserve">八、其他事项</w:t>
      </w:r>
      <w:r/>
    </w:p>
    <w:p>
      <w:pP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zh-CN"/>
        </w:rPr>
        <w:t xml:space="preserve">3</w:t>
      </w:r>
      <w:r>
        <w:rPr>
          <w:rFonts w:hint="eastAsia" w:ascii="宋体" w:hAnsi="宋体" w:cs="宋体"/>
          <w:b/>
          <w:bCs/>
          <w:sz w:val="21"/>
          <w:szCs w:val="21"/>
          <w:highlight w:val="none"/>
          <w:lang w:val="en-US" w:eastAsia="zh-CN"/>
        </w:rPr>
        <w:t xml:space="preserve">4</w:t>
      </w:r>
      <w:r>
        <w:rPr>
          <w:rFonts w:hint="eastAsia" w:ascii="宋体" w:hAnsi="宋体" w:eastAsia="宋体" w:cs="宋体"/>
          <w:b/>
          <w:bCs/>
          <w:sz w:val="21"/>
          <w:szCs w:val="21"/>
          <w:highlight w:val="none"/>
          <w:lang w:val="zh-CN"/>
        </w:rPr>
        <w:t xml:space="preserve">.中标服务费</w:t>
      </w:r>
      <w:r/>
    </w:p>
    <w:p>
      <w:pPr>
        <w:ind w:firstLine="480"/>
        <w:spacing w:line="360" w:lineRule="auto"/>
        <w:rPr>
          <w:rFonts w:hint="eastAsia" w:ascii="宋体" w:hAnsi="宋体" w:eastAsia="宋体" w:cs="宋体"/>
          <w:sz w:val="21"/>
          <w:szCs w:val="21"/>
          <w:highlight w:val="none"/>
          <w:lang w:val="zh-CN"/>
        </w:rPr>
      </w:pPr>
      <w:r>
        <w:rPr>
          <w:rFonts w:hint="eastAsia" w:ascii="宋体" w:hAnsi="宋体" w:cs="宋体"/>
          <w:sz w:val="21"/>
          <w:szCs w:val="21"/>
          <w:highlight w:val="none"/>
          <w:lang w:val="en-US" w:eastAsia="zh-CN"/>
        </w:rPr>
        <w:t xml:space="preserve">34.1</w:t>
      </w:r>
      <w:r>
        <w:rPr>
          <w:rFonts w:hint="eastAsia" w:ascii="宋体" w:hAnsi="宋体" w:eastAsia="宋体" w:cs="宋体"/>
          <w:sz w:val="21"/>
          <w:szCs w:val="21"/>
          <w:highlight w:val="none"/>
          <w:lang w:val="zh-CN"/>
        </w:rPr>
        <w:t xml:space="preserve">代理服务费由中标（成交）供应商支付的，原项目采购预算中应包含代理费。采购人应在采购文件中说明原因并明示代理费收取方式、标准及确立标准的依据。供应商报价应当包含代理费；</w:t>
      </w:r>
      <w:r/>
    </w:p>
    <w:p>
      <w:pPr>
        <w:ind w:firstLine="480"/>
        <w:spacing w:line="360" w:lineRule="auto"/>
        <w:rPr>
          <w:rFonts w:hint="eastAsia" w:ascii="宋体" w:hAnsi="宋体" w:eastAsia="宋体" w:cs="宋体"/>
          <w:sz w:val="21"/>
          <w:szCs w:val="21"/>
          <w:highlight w:val="none"/>
          <w:lang w:val="zh-CN"/>
        </w:rPr>
      </w:pPr>
      <w:r>
        <w:rPr>
          <w:rFonts w:hint="eastAsia" w:ascii="宋体" w:hAnsi="宋体" w:cs="宋体"/>
          <w:sz w:val="21"/>
          <w:szCs w:val="21"/>
          <w:highlight w:val="none"/>
          <w:lang w:val="en-US" w:eastAsia="zh-CN"/>
        </w:rPr>
        <w:t xml:space="preserve">34.2</w:t>
      </w:r>
      <w:r>
        <w:rPr>
          <w:rFonts w:hint="eastAsia" w:ascii="宋体" w:hAnsi="宋体" w:eastAsia="宋体" w:cs="宋体"/>
          <w:sz w:val="21"/>
          <w:szCs w:val="21"/>
          <w:highlight w:val="none"/>
          <w:lang w:val="zh-CN"/>
        </w:rPr>
        <w:t xml:space="preserve">专家评审费应由采购人支付，不得转嫁给代理机构或中标（成交）供应商。采购人需在原项目采购预算中列支评审费，支付时分别申请用款计划，无需额外新增专家评审费预算，并应在项目评审完成后30个工作日内完成支付。</w:t>
      </w:r>
      <w:r/>
    </w:p>
    <w:p>
      <w:pPr>
        <w:ind w:firstLine="480"/>
        <w:spacing w:line="360" w:lineRule="auto"/>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34.3</w:t>
      </w:r>
      <w:r>
        <w:rPr>
          <w:rFonts w:hint="eastAsia" w:ascii="宋体" w:hAnsi="宋体" w:eastAsia="宋体" w:cs="宋体"/>
          <w:sz w:val="21"/>
          <w:szCs w:val="21"/>
          <w:highlight w:val="none"/>
          <w:lang w:val="zh-CN"/>
        </w:rPr>
        <w:t xml:space="preserve">因本次项目预算中已包含中标服务费，故本项目中标服务费由中标单位支付</w:t>
      </w:r>
      <w:r>
        <w:rPr>
          <w:rFonts w:hint="eastAsia" w:ascii="宋体" w:hAnsi="宋体" w:cs="宋体"/>
          <w:sz w:val="21"/>
          <w:szCs w:val="21"/>
          <w:highlight w:val="none"/>
          <w:lang w:val="zh-CN"/>
        </w:rPr>
        <w:t xml:space="preserve">；</w:t>
      </w:r>
      <w:r>
        <w:rPr>
          <w:rFonts w:hint="eastAsia" w:ascii="宋体" w:hAnsi="宋体" w:cs="宋体"/>
          <w:sz w:val="21"/>
          <w:szCs w:val="21"/>
          <w:highlight w:val="none"/>
          <w:lang w:val="en-US" w:eastAsia="zh-CN"/>
        </w:rPr>
        <w:t xml:space="preserve">本项目中标服务费22000元。</w:t>
      </w:r>
      <w:r/>
    </w:p>
    <w:p>
      <w:pPr>
        <w:ind w:right="-159" w:firstLine="48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 xml:space="preserve">34.4</w:t>
      </w:r>
      <w:r>
        <w:rPr>
          <w:rFonts w:hint="eastAsia" w:ascii="宋体" w:hAnsi="宋体" w:eastAsia="宋体" w:cs="宋体"/>
          <w:sz w:val="21"/>
          <w:szCs w:val="21"/>
          <w:highlight w:val="none"/>
          <w:lang w:val="zh-CN"/>
        </w:rPr>
        <w:t xml:space="preserve">本项目专家评审费用由招标单位支付</w:t>
      </w:r>
      <w:r>
        <w:rPr>
          <w:rFonts w:hint="eastAsia" w:ascii="宋体" w:hAnsi="宋体" w:cs="宋体"/>
          <w:sz w:val="21"/>
          <w:szCs w:val="21"/>
          <w:highlight w:val="none"/>
          <w:lang w:val="zh-CN"/>
        </w:rPr>
        <w:t xml:space="preserve">。</w:t>
      </w:r>
      <w:r/>
    </w:p>
    <w:p>
      <w:pPr>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cs="宋体"/>
          <w:sz w:val="21"/>
          <w:szCs w:val="21"/>
          <w:highlight w:val="none"/>
          <w:lang w:val="en-US" w:eastAsia="zh-CN"/>
        </w:rPr>
        <w:t xml:space="preserve">4</w:t>
      </w:r>
      <w:r>
        <w:rPr>
          <w:rFonts w:hint="eastAsia" w:ascii="宋体" w:hAnsi="宋体" w:eastAsia="宋体" w:cs="宋体"/>
          <w:sz w:val="21"/>
          <w:szCs w:val="21"/>
          <w:highlight w:val="none"/>
        </w:rPr>
        <w:t xml:space="preserve">.</w:t>
      </w:r>
      <w:r>
        <w:rPr>
          <w:rFonts w:hint="eastAsia" w:ascii="宋体" w:hAnsi="宋体" w:cs="宋体"/>
          <w:sz w:val="21"/>
          <w:szCs w:val="21"/>
          <w:highlight w:val="none"/>
          <w:lang w:val="en-US" w:eastAsia="zh-CN"/>
        </w:rPr>
        <w:t xml:space="preserve">5</w:t>
      </w:r>
      <w:r>
        <w:rPr>
          <w:rFonts w:hint="eastAsia" w:ascii="宋体" w:hAnsi="宋体" w:eastAsia="宋体" w:cs="宋体"/>
          <w:sz w:val="21"/>
          <w:szCs w:val="21"/>
          <w:highlight w:val="none"/>
        </w:rPr>
        <w:t xml:space="preserve">中标人须按招标文件的规定支付中标服务费，该费用应在领取中标通知书时付清。</w:t>
      </w:r>
      <w:r/>
    </w:p>
    <w:p>
      <w:pPr>
        <w:pStyle w:val="1010"/>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zh-CN"/>
        </w:rPr>
        <w:t xml:space="preserve">3</w:t>
      </w:r>
      <w:r>
        <w:rPr>
          <w:rFonts w:hint="eastAsia" w:cs="宋体"/>
          <w:sz w:val="21"/>
          <w:szCs w:val="21"/>
          <w:highlight w:val="none"/>
          <w:lang w:val="en-US" w:eastAsia="zh-CN"/>
        </w:rPr>
        <w:t xml:space="preserve">4</w:t>
      </w:r>
      <w:r>
        <w:rPr>
          <w:rFonts w:hint="eastAsia" w:ascii="宋体" w:hAnsi="宋体" w:eastAsia="宋体" w:cs="宋体"/>
          <w:sz w:val="21"/>
          <w:szCs w:val="21"/>
          <w:highlight w:val="none"/>
          <w:lang w:val="zh-CN"/>
        </w:rPr>
        <w:t xml:space="preserve">.</w:t>
      </w:r>
      <w:r>
        <w:rPr>
          <w:rFonts w:hint="eastAsia" w:cs="宋体"/>
          <w:sz w:val="21"/>
          <w:szCs w:val="21"/>
          <w:highlight w:val="none"/>
          <w:lang w:val="en-US" w:eastAsia="zh-CN"/>
        </w:rPr>
        <w:t xml:space="preserve">6</w:t>
      </w:r>
      <w:r>
        <w:rPr>
          <w:rFonts w:hint="eastAsia" w:ascii="宋体" w:hAnsi="宋体" w:eastAsia="宋体" w:cs="宋体"/>
          <w:sz w:val="21"/>
          <w:szCs w:val="21"/>
          <w:highlight w:val="none"/>
        </w:rPr>
        <w:t xml:space="preserve">中标人如果未按规定缴纳中标服务费，并保留诉讼的权利。</w:t>
      </w:r>
      <w:r/>
    </w:p>
    <w:p>
      <w:pP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zh-CN"/>
        </w:rPr>
        <w:t xml:space="preserve">3</w:t>
      </w:r>
      <w:r>
        <w:rPr>
          <w:rFonts w:hint="eastAsia" w:ascii="宋体" w:hAnsi="宋体" w:cs="宋体"/>
          <w:b/>
          <w:bCs/>
          <w:sz w:val="21"/>
          <w:szCs w:val="21"/>
          <w:highlight w:val="none"/>
          <w:lang w:val="en-US" w:eastAsia="zh-CN"/>
        </w:rPr>
        <w:t xml:space="preserve">5</w:t>
      </w:r>
      <w:r>
        <w:rPr>
          <w:rFonts w:hint="eastAsia" w:ascii="宋体" w:hAnsi="宋体" w:eastAsia="宋体" w:cs="宋体"/>
          <w:b/>
          <w:bCs/>
          <w:sz w:val="21"/>
          <w:szCs w:val="21"/>
          <w:highlight w:val="none"/>
          <w:lang w:val="zh-CN"/>
        </w:rPr>
        <w:t xml:space="preserve">.监督</w:t>
      </w:r>
      <w:r/>
    </w:p>
    <w:p>
      <w:pPr>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cs="宋体"/>
          <w:sz w:val="21"/>
          <w:szCs w:val="21"/>
          <w:highlight w:val="none"/>
          <w:lang w:val="en-US" w:eastAsia="zh-CN"/>
        </w:rPr>
        <w:t xml:space="preserve">5</w:t>
      </w:r>
      <w:r>
        <w:rPr>
          <w:rFonts w:hint="eastAsia" w:ascii="宋体" w:hAnsi="宋体" w:eastAsia="宋体" w:cs="宋体"/>
          <w:sz w:val="21"/>
          <w:szCs w:val="21"/>
          <w:highlight w:val="none"/>
        </w:rPr>
        <w:t xml:space="preserve">.1有关监督部门将对招投标全过程进行监督。</w:t>
      </w:r>
      <w:r/>
    </w:p>
    <w:p>
      <w:pP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zh-CN"/>
        </w:rPr>
        <w:t xml:space="preserve">3</w:t>
      </w:r>
      <w:r>
        <w:rPr>
          <w:rFonts w:hint="eastAsia" w:ascii="宋体" w:hAnsi="宋体" w:cs="宋体"/>
          <w:b/>
          <w:bCs/>
          <w:sz w:val="21"/>
          <w:szCs w:val="21"/>
          <w:highlight w:val="none"/>
          <w:lang w:val="en-US" w:eastAsia="zh-CN"/>
        </w:rPr>
        <w:t xml:space="preserve">6</w:t>
      </w:r>
      <w:r>
        <w:rPr>
          <w:rFonts w:hint="eastAsia" w:ascii="宋体" w:hAnsi="宋体" w:eastAsia="宋体" w:cs="宋体"/>
          <w:b/>
          <w:bCs/>
          <w:sz w:val="21"/>
          <w:szCs w:val="21"/>
          <w:highlight w:val="none"/>
          <w:lang w:val="zh-CN"/>
        </w:rPr>
        <w:t xml:space="preserve">.未尽事宜</w:t>
      </w:r>
      <w:r/>
    </w:p>
    <w:p>
      <w:pPr>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zh-CN"/>
        </w:rPr>
        <w:t xml:space="preserve">按《中华人民共和国政府采购法》及其他有关政府采购的法律法规的规定执行。</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359"/>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pStyle w:val="822"/>
        <w:rPr>
          <w:rFonts w:hint="eastAsia" w:ascii="宋体" w:hAnsi="宋体" w:eastAsia="宋体" w:cs="宋体"/>
          <w:szCs w:val="21"/>
          <w:highlight w:val="none"/>
        </w:rPr>
      </w:pPr>
      <w:r>
        <w:rPr>
          <w:rFonts w:hint="eastAsia" w:ascii="宋体" w:hAnsi="宋体" w:eastAsia="宋体" w:cs="宋体"/>
          <w:szCs w:val="21"/>
          <w:highlight w:val="none"/>
        </w:rPr>
      </w:r>
      <w:r/>
    </w:p>
    <w:p>
      <w:pPr>
        <w:pStyle w:val="822"/>
        <w:rPr>
          <w:rFonts w:hint="eastAsia" w:ascii="宋体" w:hAnsi="宋体" w:eastAsia="宋体" w:cs="宋体"/>
          <w:szCs w:val="21"/>
          <w:highlight w:val="none"/>
        </w:rPr>
      </w:pPr>
      <w:r>
        <w:rPr>
          <w:rFonts w:hint="eastAsia" w:ascii="宋体" w:hAnsi="宋体" w:eastAsia="宋体" w:cs="宋体"/>
          <w:szCs w:val="21"/>
          <w:highlight w:val="none"/>
        </w:rPr>
      </w:r>
      <w:r/>
    </w:p>
    <w:p>
      <w:pPr>
        <w:pStyle w:val="822"/>
        <w:rPr>
          <w:rFonts w:hint="eastAsia" w:ascii="宋体" w:hAnsi="宋体" w:eastAsia="宋体" w:cs="宋体"/>
          <w:szCs w:val="21"/>
          <w:highlight w:val="none"/>
        </w:rPr>
      </w:pPr>
      <w:r>
        <w:rPr>
          <w:rFonts w:hint="eastAsia" w:ascii="宋体" w:hAnsi="宋体" w:eastAsia="宋体" w:cs="宋体"/>
          <w:szCs w:val="21"/>
          <w:highlight w:val="none"/>
        </w:rPr>
      </w:r>
      <w:r/>
    </w:p>
    <w:p>
      <w:pPr>
        <w:pStyle w:val="822"/>
        <w:rPr>
          <w:rFonts w:hint="eastAsia" w:ascii="宋体" w:hAnsi="宋体" w:eastAsia="宋体" w:cs="宋体"/>
          <w:szCs w:val="21"/>
          <w:highlight w:val="none"/>
        </w:rPr>
      </w:pPr>
      <w:r>
        <w:rPr>
          <w:rFonts w:hint="eastAsia" w:ascii="宋体" w:hAnsi="宋体" w:eastAsia="宋体" w:cs="宋体"/>
          <w:szCs w:val="21"/>
          <w:highlight w:val="none"/>
        </w:rPr>
      </w:r>
      <w:r/>
    </w:p>
    <w:p>
      <w:pPr>
        <w:pStyle w:val="822"/>
        <w:rPr>
          <w:rFonts w:hint="eastAsia" w:ascii="宋体" w:hAnsi="宋体" w:eastAsia="宋体" w:cs="宋体"/>
          <w:szCs w:val="21"/>
          <w:highlight w:val="none"/>
        </w:rPr>
      </w:pPr>
      <w:r>
        <w:rPr>
          <w:rFonts w:hint="eastAsia" w:ascii="宋体" w:hAnsi="宋体" w:eastAsia="宋体" w:cs="宋体"/>
          <w:szCs w:val="21"/>
          <w:highlight w:val="none"/>
        </w:rPr>
      </w:r>
      <w:r/>
    </w:p>
    <w:p>
      <w:pPr>
        <w:pStyle w:val="822"/>
        <w:rPr>
          <w:rFonts w:hint="eastAsia" w:ascii="宋体" w:hAnsi="宋体" w:eastAsia="宋体" w:cs="宋体"/>
          <w:szCs w:val="21"/>
          <w:highlight w:val="none"/>
        </w:rPr>
      </w:pPr>
      <w:r>
        <w:rPr>
          <w:rFonts w:hint="eastAsia" w:ascii="宋体" w:hAnsi="宋体" w:eastAsia="宋体" w:cs="宋体"/>
          <w:szCs w:val="21"/>
          <w:highlight w:val="none"/>
        </w:rPr>
      </w:r>
      <w:r/>
    </w:p>
    <w:p>
      <w:pPr>
        <w:pStyle w:val="822"/>
        <w:rPr>
          <w:rFonts w:hint="eastAsia" w:ascii="宋体" w:hAnsi="宋体" w:eastAsia="宋体" w:cs="宋体"/>
          <w:szCs w:val="21"/>
          <w:highlight w:val="none"/>
        </w:rPr>
      </w:pPr>
      <w:r>
        <w:rPr>
          <w:rFonts w:hint="eastAsia" w:ascii="宋体" w:hAnsi="宋体" w:eastAsia="宋体" w:cs="宋体"/>
          <w:szCs w:val="21"/>
          <w:highlight w:val="none"/>
        </w:rPr>
      </w:r>
      <w:r/>
    </w:p>
    <w:p>
      <w:pPr>
        <w:pStyle w:val="822"/>
        <w:rPr>
          <w:rFonts w:hint="eastAsia" w:ascii="宋体" w:hAnsi="宋体" w:eastAsia="宋体" w:cs="宋体"/>
          <w:szCs w:val="21"/>
          <w:highlight w:val="none"/>
        </w:rPr>
      </w:pPr>
      <w:r>
        <w:rPr>
          <w:rFonts w:hint="eastAsia" w:ascii="宋体" w:hAnsi="宋体" w:eastAsia="宋体" w:cs="宋体"/>
          <w:szCs w:val="21"/>
          <w:highlight w:val="none"/>
        </w:rPr>
      </w:r>
      <w:r/>
    </w:p>
    <w:p>
      <w:pPr>
        <w:pStyle w:val="822"/>
        <w:rPr>
          <w:rFonts w:hint="eastAsia" w:ascii="宋体" w:hAnsi="宋体" w:eastAsia="宋体" w:cs="宋体"/>
          <w:szCs w:val="21"/>
          <w:highlight w:val="none"/>
        </w:rPr>
      </w:pPr>
      <w:r>
        <w:rPr>
          <w:rFonts w:hint="eastAsia" w:ascii="宋体" w:hAnsi="宋体" w:eastAsia="宋体" w:cs="宋体"/>
          <w:szCs w:val="21"/>
          <w:highlight w:val="none"/>
        </w:rPr>
      </w:r>
      <w:r/>
    </w:p>
    <w:p>
      <w:pPr>
        <w:pStyle w:val="822"/>
        <w:rPr>
          <w:rFonts w:hint="eastAsia" w:ascii="宋体" w:hAnsi="宋体" w:eastAsia="宋体" w:cs="宋体"/>
          <w:szCs w:val="21"/>
          <w:highlight w:val="none"/>
        </w:rPr>
      </w:pPr>
      <w:r>
        <w:rPr>
          <w:rFonts w:hint="eastAsia" w:ascii="宋体" w:hAnsi="宋体" w:eastAsia="宋体" w:cs="宋体"/>
          <w:szCs w:val="21"/>
          <w:highlight w:val="none"/>
        </w:rPr>
      </w:r>
      <w:r/>
    </w:p>
    <w:p>
      <w:pPr>
        <w:pStyle w:val="822"/>
        <w:rPr>
          <w:rFonts w:hint="eastAsia" w:ascii="宋体" w:hAnsi="宋体" w:eastAsia="宋体" w:cs="宋体"/>
          <w:szCs w:val="21"/>
          <w:highlight w:val="none"/>
        </w:rPr>
      </w:pPr>
      <w:r>
        <w:rPr>
          <w:rFonts w:hint="eastAsia" w:ascii="宋体" w:hAnsi="宋体" w:eastAsia="宋体" w:cs="宋体"/>
          <w:szCs w:val="21"/>
          <w:highlight w:val="none"/>
        </w:rPr>
      </w:r>
      <w:r/>
    </w:p>
    <w:p>
      <w:pPr>
        <w:pStyle w:val="822"/>
        <w:rPr>
          <w:rFonts w:hint="eastAsia" w:ascii="宋体" w:hAnsi="宋体" w:eastAsia="宋体" w:cs="宋体"/>
          <w:szCs w:val="21"/>
          <w:highlight w:val="none"/>
        </w:rPr>
      </w:pPr>
      <w:r>
        <w:rPr>
          <w:rFonts w:hint="eastAsia" w:ascii="宋体" w:hAnsi="宋体" w:eastAsia="宋体" w:cs="宋体"/>
          <w:szCs w:val="21"/>
          <w:highlight w:val="none"/>
        </w:rPr>
      </w:r>
      <w:r/>
    </w:p>
    <w:p>
      <w:pPr>
        <w:pStyle w:val="822"/>
        <w:rPr>
          <w:rFonts w:hint="eastAsia" w:ascii="宋体" w:hAnsi="宋体" w:eastAsia="宋体" w:cs="宋体"/>
          <w:szCs w:val="21"/>
          <w:highlight w:val="none"/>
        </w:rPr>
      </w:pPr>
      <w:r>
        <w:rPr>
          <w:rFonts w:hint="eastAsia" w:ascii="宋体" w:hAnsi="宋体" w:eastAsia="宋体" w:cs="宋体"/>
          <w:szCs w:val="21"/>
          <w:highlight w:val="none"/>
        </w:rPr>
      </w:r>
      <w:r/>
    </w:p>
    <w:p>
      <w:pPr>
        <w:pStyle w:val="822"/>
        <w:rPr>
          <w:rFonts w:hint="eastAsia" w:ascii="宋体" w:hAnsi="宋体" w:eastAsia="宋体" w:cs="宋体"/>
          <w:szCs w:val="21"/>
          <w:highlight w:val="none"/>
        </w:rPr>
      </w:pPr>
      <w:r>
        <w:rPr>
          <w:rFonts w:hint="eastAsia" w:ascii="宋体" w:hAnsi="宋体" w:eastAsia="宋体" w:cs="宋体"/>
          <w:szCs w:val="21"/>
          <w:highlight w:val="none"/>
        </w:rPr>
      </w:r>
      <w:r/>
    </w:p>
    <w:p>
      <w:pPr>
        <w:pStyle w:val="822"/>
        <w:rPr>
          <w:rFonts w:hint="eastAsia" w:ascii="宋体" w:hAnsi="宋体" w:eastAsia="宋体" w:cs="宋体"/>
          <w:szCs w:val="21"/>
          <w:highlight w:val="none"/>
        </w:rPr>
      </w:pPr>
      <w:r>
        <w:rPr>
          <w:rFonts w:hint="eastAsia" w:ascii="宋体" w:hAnsi="宋体" w:eastAsia="宋体" w:cs="宋体"/>
          <w:szCs w:val="21"/>
          <w:highlight w:val="none"/>
        </w:rPr>
      </w:r>
      <w:r/>
    </w:p>
    <w:p>
      <w:pPr>
        <w:pStyle w:val="822"/>
        <w:rPr>
          <w:rFonts w:hint="eastAsia" w:ascii="宋体" w:hAnsi="宋体" w:eastAsia="宋体" w:cs="宋体"/>
          <w:szCs w:val="21"/>
          <w:highlight w:val="none"/>
        </w:rPr>
      </w:pPr>
      <w:r>
        <w:rPr>
          <w:rFonts w:hint="eastAsia" w:ascii="宋体" w:hAnsi="宋体" w:eastAsia="宋体" w:cs="宋体"/>
          <w:szCs w:val="21"/>
          <w:highlight w:val="none"/>
        </w:rPr>
      </w:r>
      <w:r/>
    </w:p>
    <w:p>
      <w:pPr>
        <w:pStyle w:val="822"/>
        <w:rPr>
          <w:rFonts w:hint="eastAsia" w:ascii="宋体" w:hAnsi="宋体" w:eastAsia="宋体" w:cs="宋体"/>
          <w:szCs w:val="21"/>
          <w:highlight w:val="none"/>
        </w:rPr>
      </w:pPr>
      <w:r>
        <w:rPr>
          <w:rFonts w:hint="eastAsia" w:ascii="宋体" w:hAnsi="宋体" w:eastAsia="宋体" w:cs="宋体"/>
          <w:szCs w:val="21"/>
          <w:highlight w:val="none"/>
        </w:rPr>
      </w:r>
      <w:r/>
    </w:p>
    <w:p>
      <w:pPr>
        <w:pStyle w:val="822"/>
        <w:rPr>
          <w:rFonts w:hint="eastAsia" w:ascii="宋体" w:hAnsi="宋体" w:eastAsia="宋体" w:cs="宋体"/>
          <w:szCs w:val="21"/>
          <w:highlight w:val="none"/>
        </w:rPr>
      </w:pPr>
      <w:r>
        <w:rPr>
          <w:rFonts w:hint="eastAsia" w:ascii="宋体" w:hAnsi="宋体" w:eastAsia="宋体" w:cs="宋体"/>
          <w:szCs w:val="21"/>
          <w:highlight w:val="none"/>
        </w:rPr>
      </w:r>
      <w:r/>
    </w:p>
    <w:p>
      <w:pPr>
        <w:pStyle w:val="822"/>
        <w:rPr>
          <w:rFonts w:hint="eastAsia" w:ascii="宋体" w:hAnsi="宋体" w:eastAsia="宋体" w:cs="宋体"/>
          <w:szCs w:val="21"/>
          <w:highlight w:val="none"/>
        </w:rPr>
      </w:pPr>
      <w:r>
        <w:rPr>
          <w:rFonts w:hint="eastAsia" w:ascii="宋体" w:hAnsi="宋体" w:eastAsia="宋体" w:cs="宋体"/>
          <w:szCs w:val="21"/>
          <w:highlight w:val="none"/>
        </w:rPr>
      </w:r>
      <w:r/>
    </w:p>
    <w:p>
      <w:pPr>
        <w:pStyle w:val="822"/>
        <w:rPr>
          <w:rFonts w:hint="eastAsia" w:ascii="宋体" w:hAnsi="宋体" w:eastAsia="宋体" w:cs="宋体"/>
          <w:szCs w:val="21"/>
          <w:highlight w:val="none"/>
        </w:rPr>
      </w:pPr>
      <w:r>
        <w:rPr>
          <w:rFonts w:hint="eastAsia" w:ascii="宋体" w:hAnsi="宋体" w:eastAsia="宋体" w:cs="宋体"/>
          <w:szCs w:val="21"/>
          <w:highlight w:val="none"/>
        </w:rPr>
      </w:r>
      <w:r/>
    </w:p>
    <w:p>
      <w:pPr>
        <w:pStyle w:val="822"/>
        <w:rPr>
          <w:rFonts w:hint="eastAsia" w:ascii="宋体" w:hAnsi="宋体" w:eastAsia="宋体" w:cs="宋体"/>
          <w:szCs w:val="21"/>
          <w:highlight w:val="none"/>
        </w:rPr>
      </w:pPr>
      <w:r>
        <w:rPr>
          <w:rFonts w:hint="eastAsia" w:ascii="宋体" w:hAnsi="宋体" w:eastAsia="宋体" w:cs="宋体"/>
          <w:szCs w:val="21"/>
          <w:highlight w:val="none"/>
        </w:rPr>
      </w:r>
      <w:r/>
    </w:p>
    <w:p>
      <w:pPr>
        <w:pStyle w:val="822"/>
        <w:rPr>
          <w:rFonts w:hint="eastAsia" w:ascii="宋体" w:hAnsi="宋体" w:eastAsia="宋体" w:cs="宋体"/>
          <w:szCs w:val="21"/>
          <w:highlight w:val="none"/>
        </w:rPr>
      </w:pPr>
      <w:r>
        <w:rPr>
          <w:rFonts w:hint="eastAsia" w:ascii="宋体" w:hAnsi="宋体" w:eastAsia="宋体" w:cs="宋体"/>
          <w:szCs w:val="21"/>
          <w:highlight w:val="none"/>
        </w:rPr>
      </w:r>
      <w:r/>
    </w:p>
    <w:p>
      <w:pPr>
        <w:pStyle w:val="822"/>
        <w:rPr>
          <w:rFonts w:hint="eastAsia" w:ascii="宋体" w:hAnsi="宋体" w:eastAsia="宋体" w:cs="宋体"/>
          <w:szCs w:val="21"/>
          <w:highlight w:val="none"/>
        </w:rPr>
      </w:pPr>
      <w:r>
        <w:rPr>
          <w:rFonts w:hint="eastAsia" w:ascii="宋体" w:hAnsi="宋体" w:eastAsia="宋体" w:cs="宋体"/>
          <w:szCs w:val="21"/>
          <w:highlight w:val="none"/>
        </w:rPr>
      </w:r>
      <w:r/>
    </w:p>
    <w:p>
      <w:pPr>
        <w:pStyle w:val="822"/>
        <w:rPr>
          <w:rFonts w:hint="eastAsia" w:ascii="宋体" w:hAnsi="宋体" w:eastAsia="宋体" w:cs="宋体"/>
          <w:szCs w:val="21"/>
          <w:highlight w:val="none"/>
        </w:rPr>
      </w:pPr>
      <w:r>
        <w:rPr>
          <w:rFonts w:hint="eastAsia" w:ascii="宋体" w:hAnsi="宋体" w:eastAsia="宋体" w:cs="宋体"/>
          <w:szCs w:val="21"/>
          <w:highlight w:val="none"/>
        </w:rPr>
      </w:r>
      <w:r/>
    </w:p>
    <w:p>
      <w:pPr>
        <w:pStyle w:val="973"/>
        <w:numPr>
          <w:ilvl w:val="0"/>
          <w:numId w:val="0"/>
        </w:numPr>
        <w:jc w:val="center"/>
        <w:spacing w:before="240" w:after="240" w:line="360" w:lineRule="auto"/>
        <w:rPr>
          <w:rFonts w:hint="eastAsia" w:ascii="宋体" w:hAnsi="宋体" w:eastAsia="宋体" w:cs="宋体"/>
          <w:b w:val="0"/>
          <w:szCs w:val="44"/>
          <w:highlight w:val="none"/>
          <w:lang w:val="zh-CN"/>
        </w:rPr>
      </w:pPr>
      <w:r>
        <w:rPr>
          <w:rFonts w:hint="eastAsia" w:ascii="宋体" w:hAnsi="宋体" w:eastAsia="宋体" w:cs="宋体"/>
          <w:sz w:val="30"/>
          <w:highlight w:val="none"/>
        </w:rPr>
        <w:t xml:space="preserve">第三章 投标文件格式</w:t>
      </w:r>
      <w:r/>
    </w:p>
    <w:p>
      <w:pP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zh-CN"/>
        </w:rPr>
        <w:t xml:space="preserve">说明：</w:t>
      </w:r>
      <w:r/>
    </w:p>
    <w:p>
      <w:pPr>
        <w:ind w:firstLine="618"/>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zh-CN"/>
        </w:rPr>
        <w:t xml:space="preserve">对本章所有的投标书格式 ，投标单位可根据自身情况进行补充和修改，但补充和修改不得造成与本格式内容有实质性的违背。</w:t>
      </w:r>
      <w:r/>
    </w:p>
    <w:p>
      <w:pPr>
        <w:rPr>
          <w:rFonts w:hint="eastAsia" w:ascii="宋体" w:hAnsi="宋体" w:eastAsia="宋体" w:cs="宋体"/>
          <w:b/>
          <w:sz w:val="21"/>
          <w:szCs w:val="21"/>
          <w:highlight w:val="none"/>
        </w:rPr>
      </w:pPr>
      <w:r>
        <w:rPr>
          <w:rFonts w:hint="eastAsia" w:ascii="宋体" w:hAnsi="宋体" w:eastAsia="宋体" w:cs="宋体"/>
          <w:b/>
          <w:sz w:val="21"/>
          <w:szCs w:val="21"/>
          <w:highlight w:val="none"/>
          <w:lang w:val="zh-CN"/>
        </w:rPr>
        <w:br w:type="page" w:clear="all"/>
      </w:r>
      <w:r>
        <w:rPr>
          <w:rFonts w:hint="eastAsia" w:ascii="宋体" w:hAnsi="宋体" w:eastAsia="宋体" w:cs="宋体"/>
          <w:b/>
          <w:bCs/>
          <w:sz w:val="21"/>
          <w:szCs w:val="21"/>
          <w:highlight w:val="none"/>
          <w:lang w:val="zh-CN"/>
        </w:rPr>
        <w:t xml:space="preserve">格式1、投标函</w:t>
      </w:r>
      <w:r/>
    </w:p>
    <w:p>
      <w:pPr>
        <w:jc w:val="center"/>
        <w:spacing w:line="36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lang w:val="zh-CN"/>
        </w:rPr>
        <w:t xml:space="preserve">投标函</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zh-CN"/>
        </w:rPr>
        <w:t xml:space="preserve"> </w:t>
      </w:r>
      <w:r>
        <w:rPr>
          <w:rFonts w:hint="eastAsia" w:ascii="宋体" w:hAnsi="宋体" w:eastAsia="宋体" w:cs="宋体"/>
          <w:sz w:val="21"/>
          <w:szCs w:val="21"/>
          <w:highlight w:val="none"/>
          <w:u w:val="single"/>
          <w:lang w:val="zh-CN"/>
        </w:rPr>
        <w:t xml:space="preserve">                                  </w:t>
      </w:r>
      <w:r>
        <w:rPr>
          <w:rFonts w:hint="eastAsia" w:ascii="宋体" w:hAnsi="宋体" w:eastAsia="宋体" w:cs="宋体"/>
          <w:sz w:val="21"/>
          <w:szCs w:val="21"/>
          <w:highlight w:val="none"/>
          <w:lang w:val="zh-CN"/>
        </w:rPr>
        <w:t xml:space="preserve">：</w:t>
      </w:r>
      <w:r/>
    </w:p>
    <w:p>
      <w:pPr>
        <w:pStyle w:val="1134"/>
        <w:ind w:firstLine="420"/>
        <w:spacing w:line="360" w:lineRule="auto"/>
        <w:rPr>
          <w:rFonts w:hAnsi="宋体" w:eastAsia="宋体" w:cs="宋体"/>
          <w:color w:val="auto"/>
          <w:sz w:val="21"/>
          <w:szCs w:val="21"/>
          <w:highlight w:val="none"/>
          <w:lang w:val="zh-CN"/>
        </w:rPr>
      </w:pPr>
      <w:r>
        <w:rPr>
          <w:rFonts w:hint="eastAsia" w:hAnsi="宋体" w:eastAsia="宋体" w:cs="宋体"/>
          <w:color w:val="auto"/>
          <w:sz w:val="21"/>
          <w:szCs w:val="21"/>
          <w:highlight w:val="none"/>
          <w:lang w:val="zh-CN"/>
        </w:rPr>
        <w:t xml:space="preserve">我们收到贵公司</w:t>
      </w:r>
      <w:r>
        <w:rPr>
          <w:rFonts w:hint="eastAsia" w:hAnsi="宋体" w:eastAsia="宋体" w:cs="宋体"/>
          <w:color w:val="auto"/>
          <w:sz w:val="21"/>
          <w:szCs w:val="21"/>
          <w:highlight w:val="none"/>
          <w:u w:val="single"/>
          <w:lang w:val="en-US" w:eastAsia="zh-CN"/>
        </w:rPr>
        <w:t xml:space="preserve">     </w:t>
      </w:r>
      <w:r>
        <w:rPr>
          <w:rFonts w:hint="eastAsia" w:hAnsi="宋体" w:eastAsia="宋体" w:cs="宋体"/>
          <w:color w:val="auto"/>
          <w:sz w:val="21"/>
          <w:szCs w:val="21"/>
          <w:highlight w:val="none"/>
          <w:lang w:val="zh-CN"/>
        </w:rPr>
        <w:t xml:space="preserve">号招标文件，经仔细阅读和研究，我们决定参加投标。</w:t>
      </w:r>
      <w:r/>
    </w:p>
    <w:p>
      <w:pPr>
        <w:pStyle w:val="1134"/>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lang w:val="zh-CN"/>
        </w:rPr>
        <w:t xml:space="preserve">1</w:t>
      </w:r>
      <w:r>
        <w:rPr>
          <w:rFonts w:hint="eastAsia" w:hAnsi="宋体" w:eastAsia="宋体" w:cs="宋体"/>
          <w:color w:val="auto"/>
          <w:sz w:val="21"/>
          <w:szCs w:val="21"/>
          <w:highlight w:val="none"/>
        </w:rPr>
        <w:t xml:space="preserve">.我们愿意按照招标文件的一切要求，提供本项目货物及服务工作，</w:t>
      </w:r>
      <w:r>
        <w:rPr>
          <w:rFonts w:hint="eastAsia" w:ascii="宋体" w:hAnsi="宋体" w:eastAsia="宋体" w:cs="宋体"/>
          <w:sz w:val="21"/>
          <w:szCs w:val="21"/>
          <w:highlight w:val="none"/>
          <w:u w:val="none"/>
          <w:lang w:val="en-US" w:eastAsia="zh-CN"/>
        </w:rPr>
        <w:t xml:space="preserve">包括所有货物和服务、配件、辅材以及相关的备件、专用工具、运输、装卸、人工、安装、调试、培训、保险、检验检测、专利技术、技术支持、利润、税金、政策性文件规定及合同包含的所有风险、责任等各项应有费用。</w:t>
      </w:r>
      <w:r/>
    </w:p>
    <w:p>
      <w:pPr>
        <w:pStyle w:val="1134"/>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2.如果我们的投标书被接受，我们将严格履行招标文件中规定的每一项要求，按期、按质、按量履行合同的义务。</w:t>
      </w:r>
      <w:r/>
    </w:p>
    <w:p>
      <w:pPr>
        <w:pStyle w:val="1134"/>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3.我们同意按招标文件中的规定，本投标书的有效期限为开标后</w:t>
      </w:r>
      <w:r>
        <w:rPr>
          <w:rFonts w:hint="eastAsia" w:hAnsi="宋体" w:eastAsia="宋体" w:cs="宋体"/>
          <w:color w:val="auto"/>
          <w:sz w:val="21"/>
          <w:szCs w:val="21"/>
          <w:highlight w:val="none"/>
          <w:u w:val="single"/>
        </w:rPr>
        <w:t xml:space="preserve"> 60</w:t>
      </w:r>
      <w:r>
        <w:rPr>
          <w:rFonts w:hint="eastAsia" w:hAnsi="宋体" w:eastAsia="宋体" w:cs="宋体"/>
          <w:color w:val="auto"/>
          <w:sz w:val="21"/>
          <w:szCs w:val="21"/>
          <w:highlight w:val="none"/>
        </w:rPr>
        <w:t xml:space="preserve">天。</w:t>
      </w:r>
      <w:r/>
    </w:p>
    <w:p>
      <w:pPr>
        <w:pStyle w:val="1134"/>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4.我们愿意提供招标代理机构在招标文件中要求的所有资料。</w:t>
      </w:r>
      <w:r/>
    </w:p>
    <w:p>
      <w:pPr>
        <w:pStyle w:val="1134"/>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5.我们愿意遵守招标文件中所列的收费标准。</w:t>
      </w:r>
      <w:r/>
    </w:p>
    <w:p>
      <w:pPr>
        <w:pStyle w:val="1134"/>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6.我们承诺该项投标在开标后的全过程中保持有效，不作任何更改和变动。</w:t>
      </w:r>
      <w:r/>
    </w:p>
    <w:p>
      <w:pPr>
        <w:pStyle w:val="1134"/>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7.如果我们中标，我们愿意按前附表的规定支付中标服务费；</w:t>
      </w:r>
      <w:r/>
    </w:p>
    <w:p>
      <w:pPr>
        <w:pStyle w:val="1134"/>
        <w:ind w:firstLine="422"/>
        <w:spacing w:line="360" w:lineRule="auto"/>
        <w:rPr>
          <w:rFonts w:hAnsi="宋体" w:eastAsia="宋体" w:cs="宋体"/>
          <w:color w:val="auto"/>
          <w:sz w:val="21"/>
          <w:szCs w:val="21"/>
          <w:highlight w:val="none"/>
        </w:rPr>
      </w:pPr>
      <w:r>
        <w:rPr>
          <w:rFonts w:hint="eastAsia" w:hAnsi="宋体" w:eastAsia="宋体" w:cs="宋体"/>
          <w:b/>
          <w:bCs/>
          <w:color w:val="auto"/>
          <w:sz w:val="21"/>
          <w:szCs w:val="21"/>
          <w:highlight w:val="none"/>
        </w:rPr>
        <w:t xml:space="preserve">8.我们愿意按照贵公司招标文件的要求提供电子投标文件，并保证全部投标文件内容真实有效，若有虚假，我公司愿意承担与此相关的一切责任；</w:t>
      </w:r>
      <w:r/>
    </w:p>
    <w:p>
      <w:pPr>
        <w:pStyle w:val="1134"/>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9.我们愿意按照《中华人民共和国民法典》履行自己应该承担的全部责任。</w:t>
      </w:r>
      <w:r/>
    </w:p>
    <w:p>
      <w:pPr>
        <w:pStyle w:val="1134"/>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10.综合说明：</w:t>
      </w:r>
      <w:r/>
    </w:p>
    <w:p>
      <w:pPr>
        <w:pStyle w:val="1134"/>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（1）伴随服务及配合措施；</w:t>
      </w:r>
      <w:r/>
    </w:p>
    <w:p>
      <w:pPr>
        <w:pStyle w:val="1134"/>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（2）要求甲方提供的配合；</w:t>
      </w:r>
      <w:r/>
    </w:p>
    <w:p>
      <w:pPr>
        <w:pStyle w:val="1134"/>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（3）对招标文件有不同意见的偏离说明；</w:t>
      </w:r>
      <w:r/>
    </w:p>
    <w:p>
      <w:pPr>
        <w:pStyle w:val="1134"/>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（4）其它说明。</w:t>
      </w:r>
      <w:r/>
    </w:p>
    <w:p>
      <w:pPr>
        <w:pStyle w:val="1134"/>
        <w:ind w:firstLine="422"/>
        <w:spacing w:line="360" w:lineRule="auto"/>
        <w:rPr>
          <w:rFonts w:hAnsi="宋体" w:eastAsia="宋体" w:cs="宋体"/>
          <w:b/>
          <w:color w:val="auto"/>
          <w:sz w:val="21"/>
          <w:szCs w:val="21"/>
          <w:highlight w:val="none"/>
        </w:rPr>
      </w:pPr>
      <w:r>
        <w:rPr>
          <w:rFonts w:hint="eastAsia" w:hAnsi="宋体" w:eastAsia="宋体" w:cs="宋体"/>
          <w:b/>
          <w:color w:val="auto"/>
          <w:sz w:val="21"/>
          <w:szCs w:val="21"/>
          <w:highlight w:val="none"/>
        </w:rPr>
        <w:t xml:space="preserve">所有有关标书的函电，请按下列地址联系：</w:t>
      </w:r>
      <w:r/>
    </w:p>
    <w:p>
      <w:pPr>
        <w:pStyle w:val="1134"/>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单位：              联系人：</w:t>
      </w:r>
      <w:r/>
    </w:p>
    <w:p>
      <w:pPr>
        <w:pStyle w:val="1134"/>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地址：              邮政编码：</w:t>
      </w:r>
      <w:r/>
    </w:p>
    <w:p>
      <w:pPr>
        <w:pStyle w:val="1134"/>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联系电话：          传真：</w:t>
      </w:r>
      <w:r/>
    </w:p>
    <w:p>
      <w:pPr>
        <w:pStyle w:val="1134"/>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邮箱地址：</w:t>
      </w:r>
      <w:r/>
    </w:p>
    <w:p>
      <w:pPr>
        <w:pStyle w:val="1134"/>
        <w:ind w:left="3825" w:firstLine="422"/>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投标单位：（签章）</w:t>
      </w:r>
      <w:r/>
    </w:p>
    <w:p>
      <w:pPr>
        <w:ind w:firstLine="480"/>
        <w:jc w:val="left"/>
        <w:spacing w:line="360" w:lineRule="auto"/>
        <w:rPr>
          <w:rFonts w:hint="eastAsia" w:ascii="宋体" w:hAnsi="宋体" w:eastAsia="宋体" w:cs="宋体"/>
          <w:sz w:val="21"/>
          <w:szCs w:val="21"/>
          <w:highlight w:val="none"/>
          <w:lang w:val="zh-CN"/>
        </w:rPr>
      </w:pPr>
      <w:r>
        <w:rPr>
          <w:rFonts w:hint="eastAsia" w:hAnsi="宋体" w:eastAsia="宋体" w:cs="宋体"/>
          <w:color w:val="auto"/>
          <w:sz w:val="21"/>
          <w:szCs w:val="21"/>
          <w:highlight w:val="none"/>
        </w:rPr>
        <w:t xml:space="preserve">日期：      年     月     日</w:t>
      </w:r>
      <w:r/>
    </w:p>
    <w:p>
      <w:pPr>
        <w:rPr>
          <w:rFonts w:hint="eastAsia" w:ascii="宋体" w:hAnsi="宋体" w:eastAsia="宋体" w:cs="宋体"/>
          <w:b w:val="0"/>
          <w:color w:val="000000"/>
          <w:sz w:val="21"/>
          <w:szCs w:val="21"/>
          <w:highlight w:val="none"/>
        </w:rPr>
      </w:pPr>
      <w:r>
        <w:rPr>
          <w:rFonts w:hint="eastAsia" w:ascii="宋体" w:hAnsi="宋体" w:eastAsia="宋体" w:cs="宋体"/>
          <w:b w:val="0"/>
          <w:bCs w:val="0"/>
          <w:color w:val="000000"/>
          <w:sz w:val="21"/>
          <w:szCs w:val="21"/>
          <w:highlight w:val="none"/>
          <w:lang w:val="zh-CN"/>
        </w:rPr>
        <w:br w:type="page" w:clear="all"/>
      </w:r>
      <w:r>
        <w:rPr>
          <w:rFonts w:hint="eastAsia" w:ascii="宋体" w:hAnsi="宋体" w:eastAsia="宋体" w:cs="宋体"/>
          <w:b/>
          <w:bCs/>
          <w:sz w:val="21"/>
          <w:szCs w:val="21"/>
          <w:highlight w:val="none"/>
          <w:lang w:val="zh-CN"/>
        </w:rPr>
        <w:t xml:space="preserve">格式2、法定代表人（负责人）授权委托书</w:t>
      </w:r>
      <w:r/>
    </w:p>
    <w:p>
      <w:pPr>
        <w:pStyle w:val="975"/>
        <w:numPr>
          <w:ilvl w:val="0"/>
          <w:numId w:val="0"/>
        </w:numPr>
        <w:jc w:val="left"/>
        <w:spacing w:before="360" w:after="360"/>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p>
      <w:pPr>
        <w:ind w:firstLine="562"/>
        <w:jc w:val="center"/>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法</w:t>
      </w:r>
      <w:r>
        <w:rPr>
          <w:rFonts w:hint="eastAsia" w:ascii="宋体" w:hAnsi="宋体" w:cs="宋体"/>
          <w:color w:val="auto"/>
          <w:sz w:val="21"/>
          <w:szCs w:val="21"/>
          <w:highlight w:val="none"/>
          <w:lang w:val="zh-CN"/>
        </w:rPr>
        <w:t xml:space="preserve">人授权委托书</w:t>
      </w:r>
      <w:r/>
    </w:p>
    <w:p>
      <w:pPr>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本授权书声明： </w:t>
      </w:r>
      <w:r>
        <w:rPr>
          <w:rFonts w:hint="eastAsia" w:ascii="宋体" w:hAnsi="宋体"/>
          <w:color w:val="auto"/>
          <w:sz w:val="21"/>
          <w:szCs w:val="21"/>
          <w:highlight w:val="none"/>
          <w:u w:val="single"/>
        </w:rPr>
        <w:t xml:space="preserve">（供应商名称） </w:t>
      </w:r>
      <w:r>
        <w:rPr>
          <w:rFonts w:hint="eastAsia" w:ascii="宋体" w:hAnsi="宋体"/>
          <w:color w:val="auto"/>
          <w:sz w:val="21"/>
          <w:szCs w:val="21"/>
          <w:highlight w:val="none"/>
        </w:rPr>
        <w:t xml:space="preserve">授权 </w:t>
      </w:r>
      <w:r>
        <w:rPr>
          <w:rFonts w:hint="eastAsia" w:ascii="宋体" w:hAnsi="宋体"/>
          <w:color w:val="auto"/>
          <w:sz w:val="21"/>
          <w:szCs w:val="21"/>
          <w:highlight w:val="none"/>
          <w:u w:val="single"/>
        </w:rPr>
        <w:t xml:space="preserve">（被授权人的姓名）_</w:t>
      </w:r>
      <w:r>
        <w:rPr>
          <w:rFonts w:hint="eastAsia" w:ascii="宋体" w:hAnsi="宋体"/>
          <w:color w:val="auto"/>
          <w:sz w:val="21"/>
          <w:szCs w:val="21"/>
          <w:highlight w:val="none"/>
        </w:rPr>
        <w:t xml:space="preserve">为我方授权代表（即代理人），参加</w:t>
      </w:r>
      <w:r>
        <w:rPr>
          <w:rFonts w:hint="eastAsia" w:ascii="宋体" w:hAnsi="宋体"/>
          <w:color w:val="auto"/>
          <w:sz w:val="21"/>
          <w:szCs w:val="21"/>
          <w:highlight w:val="none"/>
          <w:u w:val="single"/>
          <w:lang w:val="en-US" w:eastAsia="zh-CN"/>
        </w:rPr>
        <w:t xml:space="preserve">苏州市天美达招投标咨询服务有限公司</w:t>
      </w:r>
      <w:r>
        <w:rPr>
          <w:rFonts w:hint="eastAsia" w:ascii="宋体" w:hAnsi="宋体"/>
          <w:color w:val="auto"/>
          <w:sz w:val="21"/>
          <w:szCs w:val="21"/>
          <w:highlight w:val="none"/>
        </w:rPr>
        <w:t xml:space="preserve">组织实施的编号为</w:t>
      </w:r>
      <w:r>
        <w:rPr>
          <w:rFonts w:hint="eastAsia" w:ascii="宋体" w:hAnsi="宋体"/>
          <w:color w:val="auto"/>
          <w:sz w:val="21"/>
          <w:szCs w:val="21"/>
          <w:highlight w:val="none"/>
          <w:u w:val="single"/>
        </w:rPr>
        <w:t xml:space="preserve">   （招标编号）</w:t>
      </w:r>
      <w:r>
        <w:rPr>
          <w:rFonts w:hint="eastAsia" w:ascii="宋体" w:hAnsi="宋体"/>
          <w:color w:val="auto"/>
          <w:sz w:val="21"/>
          <w:szCs w:val="21"/>
          <w:highlight w:val="none"/>
        </w:rPr>
        <w:t xml:space="preserve">的公开招标项目。代理人在本次招标活动过程、合同签订及处理有关事宜所作出的全部意思表示（包括签署的全部文件），我司均予以承认并由我司承担相应法律后果。</w:t>
      </w:r>
      <w:r/>
    </w:p>
    <w:p>
      <w:pPr>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本授权委托书有效期自委托书作出之日起至本项目合同履行完毕之日止。</w:t>
      </w:r>
      <w:r/>
    </w:p>
    <w:p>
      <w:pPr>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代理人无转委托权。</w:t>
      </w:r>
      <w:r/>
    </w:p>
    <w:p>
      <w:pPr>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被授权人身份证号码： 。    </w:t>
      </w:r>
      <w:r/>
    </w:p>
    <w:p>
      <w:pPr>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被授权人联系电话：</w:t>
      </w:r>
      <w:r>
        <w:rPr>
          <w:rFonts w:hint="eastAsia" w:ascii="宋体" w:hAnsi="宋体"/>
          <w:color w:val="auto"/>
          <w:sz w:val="21"/>
          <w:szCs w:val="21"/>
          <w:highlight w:val="none"/>
          <w:u w:val="single"/>
        </w:rPr>
        <w:t xml:space="preserve">（手机）                </w:t>
      </w:r>
      <w:r>
        <w:rPr>
          <w:rFonts w:hint="eastAsia" w:ascii="宋体" w:hAnsi="宋体"/>
          <w:color w:val="auto"/>
          <w:sz w:val="21"/>
          <w:szCs w:val="21"/>
          <w:highlight w:val="none"/>
        </w:rPr>
        <w:t xml:space="preserve">。          </w:t>
      </w:r>
      <w:r/>
    </w:p>
    <w:p>
      <w:pPr>
        <w:ind w:firstLine="420"/>
        <w:spacing w:line="360" w:lineRule="auto"/>
        <w:rPr>
          <w:rFonts w:ascii="宋体" w:hAnsi="宋体"/>
          <w:color w:val="auto"/>
          <w:sz w:val="21"/>
          <w:szCs w:val="21"/>
          <w:highlight w:val="none"/>
        </w:rPr>
      </w:pPr>
      <w:r>
        <w:rPr>
          <w:rFonts w:ascii="宋体" w:hAnsi="宋体"/>
          <w:color w:val="auto"/>
          <w:sz w:val="21"/>
          <w:szCs w:val="21"/>
          <w:highlight w:val="none"/>
        </w:rPr>
      </w:r>
      <w:r/>
    </w:p>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单位名称</w:t>
      </w:r>
      <w:r>
        <w:rPr>
          <w:rFonts w:hint="eastAsia" w:ascii="宋体" w:hAnsi="宋体"/>
          <w:color w:val="auto"/>
          <w:sz w:val="21"/>
          <w:szCs w:val="21"/>
          <w:highlight w:val="none"/>
        </w:rPr>
        <w:t xml:space="preserve">：（签章）                                    </w:t>
      </w:r>
      <w:r/>
    </w:p>
    <w:p>
      <w:pPr>
        <w:ind w:right="63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日期：　　　　年　　  月　　  日</w:t>
      </w:r>
      <w:r/>
    </w:p>
    <w:p>
      <w:pPr>
        <w:pStyle w:val="793"/>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793"/>
        <w:ind w:left="0"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附：法人代表、授权代表的身份证正反面复印件</w:t>
      </w:r>
      <w:r/>
    </w:p>
    <w:tbl>
      <w:tblPr>
        <w:tblStyle w:val="790"/>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5" w:type="dxa"/>
          <w:top w:w="15" w:type="dxa"/>
          <w:right w:w="15" w:type="dxa"/>
          <w:bottom w:w="15" w:type="dxa"/>
        </w:tblCellMar>
        <w:tblLook w:val="04A0" w:firstRow="1" w:lastRow="0" w:firstColumn="1" w:lastColumn="0" w:noHBand="0" w:noVBand="1"/>
      </w:tblPr>
      <w:tblGrid>
        <w:gridCol w:w="8565"/>
      </w:tblGrid>
      <w:tr>
        <w:trPr>
          <w:jc w:val="center"/>
          <w:trHeight w:val="646"/>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8565" w:type="dxa"/>
            <w:vAlign w:val="center"/>
            <w:textDirection w:val="lrTb"/>
            <w:noWrap w:val="false"/>
          </w:tcPr>
          <w:p>
            <w:pPr>
              <w:pStyle w:val="815"/>
              <w:ind w:firstLine="422"/>
              <w:jc w:val="center"/>
              <w:spacing w:beforeAutospacing="0" w:afterAutospacing="0"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 </w:t>
            </w:r>
            <w:r/>
          </w:p>
          <w:p>
            <w:pPr>
              <w:pStyle w:val="815"/>
              <w:jc w:val="center"/>
              <w:spacing w:beforeAutospacing="0" w:afterAutospacing="0"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要求：真实、有效、清晰</w:t>
            </w:r>
            <w:r/>
          </w:p>
          <w:p>
            <w:pPr>
              <w:pStyle w:val="815"/>
              <w:jc w:val="center"/>
              <w:spacing w:beforeAutospacing="0" w:afterAutospacing="0"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 </w:t>
            </w:r>
            <w:r/>
          </w:p>
        </w:tc>
      </w:tr>
    </w:tbl>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br w:type="page" w:clear="all"/>
      </w:r>
      <w:r>
        <w:rPr>
          <w:rFonts w:hint="eastAsia" w:ascii="宋体" w:hAnsi="宋体" w:eastAsia="宋体" w:cs="宋体"/>
          <w:b/>
          <w:bCs/>
          <w:sz w:val="21"/>
          <w:szCs w:val="21"/>
          <w:highlight w:val="none"/>
          <w:lang w:val="zh-CN"/>
        </w:rPr>
        <w:t xml:space="preserve">格式3、开标一览表</w:t>
      </w:r>
      <w:r/>
    </w:p>
    <w:p>
      <w:pPr>
        <w:pStyle w:val="800"/>
        <w:jc w:val="center"/>
        <w:spacing w:line="360" w:lineRule="auto"/>
        <w:rPr>
          <w:rFonts w:hint="eastAsia" w:ascii="宋体" w:hAnsi="宋体" w:eastAsia="宋体" w:cs="宋体"/>
          <w:sz w:val="21"/>
          <w:szCs w:val="21"/>
          <w:highlight w:val="none"/>
          <w:lang w:eastAsia="zh-CN"/>
        </w:rPr>
      </w:pPr>
      <w:r>
        <w:rPr>
          <w:rFonts w:hint="eastAsia" w:ascii="宋体" w:hAnsi="宋体" w:eastAsia="宋体" w:cs="宋体"/>
          <w:b/>
          <w:bCs/>
          <w:sz w:val="21"/>
          <w:szCs w:val="21"/>
          <w:highlight w:val="none"/>
        </w:rPr>
        <w:t xml:space="preserve">开标一览表</w:t>
      </w:r>
      <w:r/>
    </w:p>
    <w:p>
      <w:pPr>
        <w:pStyle w:val="800"/>
        <w:ind w:firstLine="360"/>
        <w:spacing w:line="360" w:lineRule="auto"/>
        <w:rPr>
          <w:rFonts w:hint="eastAsia" w:ascii="宋体" w:hAnsi="宋体" w:eastAsia="宋体" w:cs="宋体"/>
          <w:sz w:val="21"/>
          <w:szCs w:val="21"/>
          <w:highlight w:val="none"/>
        </w:rPr>
      </w:pPr>
      <w:r/>
      <w:bookmarkStart w:id="20" w:name="gpcItem_pack_1_code_1"/>
      <w:r>
        <w:rPr>
          <w:rFonts w:hint="eastAsia" w:ascii="宋体" w:hAnsi="宋体" w:eastAsia="宋体" w:cs="宋体"/>
          <w:sz w:val="21"/>
          <w:szCs w:val="21"/>
          <w:highlight w:val="none"/>
        </w:rPr>
        <w:t xml:space="preserve">招标编号：</w:t>
      </w:r>
      <w:r/>
    </w:p>
    <w:tbl>
      <w:tblPr>
        <w:tblStyle w:val="790"/>
        <w:tblW w:w="9367"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3487"/>
        <w:gridCol w:w="4417"/>
        <w:gridCol w:w="1463"/>
      </w:tblGrid>
      <w:tr>
        <w:trPr>
          <w:jc w:val="center"/>
        </w:trPr>
        <w:tc>
          <w:tcPr>
            <w:tcBorders>
              <w:top w:val="single" w:color="auto" w:sz="4" w:space="0"/>
              <w:left w:val="single" w:color="auto" w:sz="4" w:space="0"/>
              <w:bottom w:val="single" w:color="auto" w:sz="4" w:space="0"/>
              <w:right w:val="single" w:color="auto" w:sz="4" w:space="0"/>
            </w:tcBorders>
            <w:tcW w:w="3487" w:type="dxa"/>
            <w:vAlign w:val="center"/>
            <w:textDirection w:val="lrTb"/>
            <w:noWrap w:val="false"/>
          </w:tcPr>
          <w:p>
            <w:pPr>
              <w:pStyle w:val="1050"/>
              <w:jc w:val="center"/>
              <w:spacing w:line="360" w:lineRule="auto"/>
              <w:rPr>
                <w:rFonts w:hint="default" w:ascii="宋体" w:hAnsi="宋体" w:eastAsia="宋体" w:cs="宋体"/>
                <w:sz w:val="21"/>
                <w:szCs w:val="21"/>
                <w:highlight w:val="none"/>
                <w:lang w:val="en-US" w:eastAsia="zh-CN"/>
              </w:rPr>
            </w:pPr>
            <w:r>
              <w:rPr>
                <w:rFonts w:hint="eastAsia" w:hAnsi="宋体" w:eastAsia="宋体" w:cs="宋体"/>
                <w:sz w:val="21"/>
                <w:szCs w:val="21"/>
                <w:highlight w:val="none"/>
                <w:lang w:val="en-US" w:eastAsia="zh-CN"/>
              </w:rPr>
              <w:t xml:space="preserve">项目</w:t>
            </w:r>
            <w:r>
              <w:rPr>
                <w:rFonts w:hint="eastAsia" w:hAnsi="宋体" w:eastAsia="宋体" w:cs="宋体"/>
                <w:sz w:val="21"/>
                <w:szCs w:val="21"/>
                <w:highlight w:val="none"/>
                <w:lang w:val="en-US" w:eastAsia="zh-CN"/>
              </w:rPr>
              <w:t xml:space="preserve">名称</w:t>
            </w:r>
            <w:r>
              <w:rPr>
                <w:rFonts w:hint="eastAsia" w:hAnsi="宋体" w:eastAsia="宋体" w:cs="宋体"/>
                <w:sz w:val="21"/>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4417" w:type="dxa"/>
            <w:vAlign w:val="center"/>
            <w:textDirection w:val="lrTb"/>
            <w:noWrap w:val="false"/>
          </w:tcPr>
          <w:p>
            <w:pPr>
              <w:pStyle w:val="1050"/>
              <w:jc w:val="center"/>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投标总报价</w:t>
            </w:r>
            <w:r>
              <w:rPr>
                <w:rFonts w:hint="eastAsia" w:hAnsi="宋体" w:eastAsia="宋体" w:cs="宋体"/>
                <w:sz w:val="21"/>
                <w:szCs w:val="21"/>
                <w:highlight w:val="none"/>
                <w:lang w:eastAsia="zh-CN"/>
              </w:rPr>
              <w:t xml:space="preserve">（</w:t>
            </w:r>
            <w:r>
              <w:rPr>
                <w:rFonts w:hint="eastAsia" w:hAnsi="宋体" w:eastAsia="宋体" w:cs="宋体"/>
                <w:sz w:val="21"/>
                <w:szCs w:val="21"/>
                <w:highlight w:val="none"/>
                <w:lang w:val="en-US" w:eastAsia="zh-CN"/>
              </w:rPr>
              <w:t xml:space="preserve">元</w:t>
            </w:r>
            <w:r>
              <w:rPr>
                <w:rFonts w:hint="eastAsia" w:hAnsi="宋体" w:eastAsia="宋体" w:cs="宋体"/>
                <w:sz w:val="21"/>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pStyle w:val="1050"/>
              <w:jc w:val="center"/>
              <w:spacing w:line="360" w:lineRule="auto"/>
              <w:rPr>
                <w:rFonts w:hint="eastAsia" w:ascii="宋体" w:hAnsi="宋体" w:eastAsia="宋体" w:cs="宋体"/>
                <w:sz w:val="21"/>
                <w:szCs w:val="21"/>
                <w:highlight w:val="none"/>
                <w:lang w:val="en-US" w:eastAsia="zh-CN"/>
              </w:rPr>
            </w:pPr>
            <w:r>
              <w:rPr>
                <w:rFonts w:hint="eastAsia" w:hAnsi="宋体" w:eastAsia="宋体" w:cs="宋体"/>
                <w:sz w:val="21"/>
                <w:szCs w:val="21"/>
                <w:highlight w:val="none"/>
                <w:lang w:val="en-US" w:eastAsia="zh-CN"/>
              </w:rPr>
              <w:t xml:space="preserve">备注</w:t>
            </w:r>
            <w:r/>
          </w:p>
        </w:tc>
      </w:tr>
      <w:tr>
        <w:trPr>
          <w:jc w:val="center"/>
        </w:trPr>
        <w:tc>
          <w:tcPr>
            <w:tcBorders>
              <w:top w:val="single" w:color="auto" w:sz="4" w:space="0"/>
              <w:left w:val="single" w:color="auto" w:sz="4" w:space="0"/>
              <w:bottom w:val="single" w:color="auto" w:sz="4" w:space="0"/>
              <w:right w:val="single" w:color="auto" w:sz="4" w:space="0"/>
            </w:tcBorders>
            <w:tcW w:w="3487" w:type="dxa"/>
            <w:vAlign w:val="center"/>
            <w:textDirection w:val="lrTb"/>
            <w:noWrap w:val="false"/>
          </w:tcPr>
          <w:p>
            <w:pPr>
              <w:pStyle w:val="1050"/>
              <w:jc w:val="center"/>
              <w:spacing w:line="360" w:lineRule="auto"/>
              <w:rPr>
                <w:rFonts w:hint="eastAsia" w:ascii="宋体" w:hAnsi="宋体" w:eastAsia="宋体" w:cs="宋体"/>
                <w:sz w:val="21"/>
                <w:szCs w:val="21"/>
                <w:highlight w:val="none"/>
                <w:lang w:eastAsia="zh-CN"/>
              </w:rPr>
            </w:pPr>
            <w:r>
              <w:rPr>
                <w:rFonts w:hint="eastAsia" w:hAnsi="宋体" w:eastAsia="宋体" w:cs="宋体"/>
                <w:sz w:val="21"/>
                <w:szCs w:val="21"/>
                <w:highlight w:val="none"/>
                <w:lang w:eastAsia="zh-CN"/>
              </w:rPr>
              <w:t xml:space="preserve">灭火救援器材装备采购</w:t>
            </w:r>
            <w:r/>
          </w:p>
        </w:tc>
        <w:tc>
          <w:tcPr>
            <w:tcBorders>
              <w:top w:val="single" w:color="auto" w:sz="4" w:space="0"/>
              <w:left w:val="single" w:color="auto" w:sz="4" w:space="0"/>
              <w:bottom w:val="single" w:color="auto" w:sz="4" w:space="0"/>
              <w:right w:val="single" w:color="auto" w:sz="4" w:space="0"/>
            </w:tcBorders>
            <w:tcW w:w="4417" w:type="dxa"/>
            <w:vAlign w:val="center"/>
            <w:textDirection w:val="lrTb"/>
            <w:noWrap w:val="false"/>
          </w:tcPr>
          <w:p>
            <w:pPr>
              <w:pStyle w:val="105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pStyle w:val="105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jc w:val="center"/>
          <w:trHeight w:val="922"/>
        </w:trPr>
        <w:tc>
          <w:tcPr>
            <w:gridSpan w:val="3"/>
            <w:tcBorders>
              <w:top w:val="single" w:color="auto" w:sz="4" w:space="0"/>
              <w:left w:val="single" w:color="auto" w:sz="4" w:space="0"/>
              <w:bottom w:val="single" w:color="auto" w:sz="4" w:space="0"/>
              <w:right w:val="single" w:color="auto" w:sz="4" w:space="0"/>
            </w:tcBorders>
            <w:tcW w:w="9367" w:type="dxa"/>
            <w:vAlign w:val="center"/>
            <w:textDirection w:val="lrTb"/>
            <w:noWrap w:val="false"/>
          </w:tcPr>
          <w:p>
            <w:pPr>
              <w:pStyle w:val="1050"/>
              <w:spacing w:line="360" w:lineRule="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投标总报价（人民币大写）</w:t>
            </w:r>
            <w:r>
              <w:rPr>
                <w:rFonts w:hint="eastAsia" w:hAnsi="宋体" w:eastAsia="宋体" w:cs="宋体"/>
                <w:sz w:val="21"/>
                <w:szCs w:val="21"/>
                <w:highlight w:val="none"/>
                <w:lang w:eastAsia="zh-CN"/>
              </w:rPr>
              <w:t xml:space="preserve">：</w:t>
            </w:r>
            <w:r>
              <w:rPr>
                <w:rFonts w:hint="eastAsia" w:hAnsi="宋体" w:eastAsia="宋体" w:cs="宋体"/>
                <w:sz w:val="21"/>
                <w:szCs w:val="21"/>
                <w:highlight w:val="none"/>
                <w:lang w:val="en-US" w:eastAsia="zh-CN"/>
              </w:rPr>
              <w:t xml:space="preserve">                  ￥：</w:t>
            </w:r>
            <w:r/>
          </w:p>
        </w:tc>
      </w:tr>
    </w:tbl>
    <w:p>
      <w:pPr>
        <w:pStyle w:val="800"/>
        <w:ind w:firstLine="36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800"/>
        <w:ind w:firstLine="24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投标单位：（公章）</w:t>
      </w:r>
      <w:r/>
    </w:p>
    <w:p>
      <w:pPr>
        <w:pStyle w:val="800"/>
        <w:ind w:firstLine="24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日期：      年    月    日</w:t>
      </w:r>
      <w:r/>
    </w:p>
    <w:p>
      <w:pPr>
        <w:ind w:hanging="14"/>
        <w:jc w:val="left"/>
        <w:spacing w:line="360" w:lineRule="auto"/>
        <w:tabs>
          <w:tab w:val="left" w:pos="1320" w:leader="none"/>
        </w:tabs>
        <w:rPr>
          <w:rFonts w:hint="eastAsia" w:ascii="宋体" w:hAnsi="宋体" w:eastAsia="宋体" w:cs="宋体"/>
          <w:spacing w:val="40"/>
          <w:sz w:val="21"/>
          <w:szCs w:val="21"/>
          <w:highlight w:val="none"/>
          <w:lang w:val="zh-CN"/>
        </w:rPr>
      </w:pPr>
      <w:r>
        <w:rPr>
          <w:rFonts w:hint="eastAsia" w:ascii="宋体" w:hAnsi="宋体" w:eastAsia="宋体" w:cs="宋体"/>
          <w:b/>
          <w:sz w:val="21"/>
          <w:szCs w:val="21"/>
          <w:highlight w:val="none"/>
        </w:rPr>
        <w:br w:type="page" w:clear="all"/>
      </w:r>
      <w:r>
        <w:rPr>
          <w:rFonts w:hint="eastAsia" w:ascii="宋体" w:hAnsi="宋体" w:eastAsia="宋体" w:cs="宋体"/>
          <w:b/>
          <w:bCs/>
          <w:sz w:val="21"/>
          <w:szCs w:val="21"/>
          <w:highlight w:val="none"/>
          <w:lang w:val="zh-CN"/>
        </w:rPr>
        <w:t xml:space="preserve">格式</w:t>
      </w:r>
      <w:r>
        <w:rPr>
          <w:rFonts w:hint="eastAsia" w:ascii="宋体" w:hAnsi="宋体" w:eastAsia="宋体" w:cs="宋体"/>
          <w:b/>
          <w:bCs/>
          <w:sz w:val="21"/>
          <w:szCs w:val="21"/>
          <w:highlight w:val="none"/>
        </w:rPr>
        <w:t xml:space="preserve">4</w:t>
      </w:r>
      <w:r>
        <w:rPr>
          <w:rFonts w:hint="eastAsia" w:ascii="宋体" w:hAnsi="宋体" w:eastAsia="宋体" w:cs="宋体"/>
          <w:b/>
          <w:bCs/>
          <w:sz w:val="21"/>
          <w:szCs w:val="21"/>
          <w:highlight w:val="none"/>
          <w:lang w:val="zh-CN"/>
        </w:rPr>
        <w:t xml:space="preserve">、</w:t>
      </w:r>
      <w:r>
        <w:rPr>
          <w:rFonts w:hint="eastAsia" w:ascii="宋体" w:hAnsi="宋体" w:eastAsia="宋体" w:cs="宋体"/>
          <w:b/>
          <w:bCs/>
          <w:sz w:val="21"/>
          <w:szCs w:val="21"/>
          <w:highlight w:val="none"/>
        </w:rPr>
        <w:t xml:space="preserve">投标报价分析</w:t>
      </w:r>
      <w:r>
        <w:rPr>
          <w:rFonts w:hint="eastAsia" w:ascii="宋体" w:hAnsi="宋体" w:eastAsia="宋体" w:cs="宋体"/>
          <w:b/>
          <w:bCs/>
          <w:sz w:val="21"/>
          <w:szCs w:val="21"/>
          <w:highlight w:val="none"/>
          <w:lang w:val="zh-CN"/>
        </w:rPr>
        <w:t xml:space="preserve">表</w:t>
      </w:r>
      <w:bookmarkEnd w:id="20"/>
      <w:r/>
      <w:r/>
    </w:p>
    <w:p>
      <w:pPr>
        <w:pStyle w:val="1024"/>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center"/>
        <w:spacing w:line="360" w:lineRule="auto"/>
        <w:rPr>
          <w:rFonts w:ascii="宋体" w:hAnsi="宋体"/>
          <w:b/>
          <w:bCs/>
          <w:color w:val="auto"/>
          <w:sz w:val="21"/>
          <w:szCs w:val="21"/>
          <w:highlight w:val="none"/>
        </w:rPr>
      </w:pPr>
      <w:r>
        <w:rPr>
          <w:rFonts w:hint="eastAsia" w:ascii="宋体" w:hAnsi="宋体"/>
          <w:b/>
          <w:bCs/>
          <w:color w:val="auto"/>
          <w:sz w:val="21"/>
          <w:szCs w:val="21"/>
          <w:highlight w:val="none"/>
          <w:lang w:val="zh-CN"/>
        </w:rPr>
        <w:t xml:space="preserve">投标报价分析表</w:t>
      </w:r>
      <w:r/>
    </w:p>
    <w:p>
      <w:pPr>
        <w:ind w:firstLine="422"/>
        <w:spacing w:line="360" w:lineRule="auto"/>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招标编号：           </w:t>
      </w:r>
      <w:r>
        <w:rPr>
          <w:rFonts w:hint="eastAsia" w:ascii="宋体" w:hAnsi="宋体"/>
          <w:color w:val="auto"/>
          <w:sz w:val="21"/>
          <w:szCs w:val="21"/>
          <w:highlight w:val="none"/>
          <w:lang w:val="en-US" w:eastAsia="zh-CN"/>
        </w:rPr>
        <w:t xml:space="preserve">          </w:t>
      </w:r>
      <w:r>
        <w:rPr>
          <w:rFonts w:hint="eastAsia" w:ascii="宋体" w:hAnsi="宋体"/>
          <w:color w:val="auto"/>
          <w:sz w:val="21"/>
          <w:szCs w:val="21"/>
          <w:highlight w:val="none"/>
          <w:lang w:val="zh-CN"/>
        </w:rPr>
        <w:t xml:space="preserve"> </w:t>
      </w:r>
      <w:r>
        <w:rPr>
          <w:rFonts w:hint="eastAsia" w:ascii="宋体" w:hAnsi="宋体"/>
          <w:color w:val="auto"/>
          <w:sz w:val="21"/>
          <w:szCs w:val="21"/>
          <w:highlight w:val="none"/>
          <w:lang w:val="en-US" w:eastAsia="zh-CN"/>
        </w:rPr>
        <w:t xml:space="preserve"> </w:t>
      </w:r>
      <w:r>
        <w:rPr>
          <w:rFonts w:hint="eastAsia" w:ascii="宋体" w:hAnsi="宋体"/>
          <w:color w:val="auto"/>
          <w:sz w:val="21"/>
          <w:szCs w:val="21"/>
          <w:highlight w:val="none"/>
          <w:lang w:val="zh-CN"/>
        </w:rPr>
        <w:t xml:space="preserve">   项目名称：</w:t>
      </w:r>
      <w:r>
        <w:rPr>
          <w:rFonts w:hint="eastAsia" w:ascii="宋体" w:hAnsi="宋体"/>
          <w:color w:val="auto"/>
          <w:sz w:val="21"/>
          <w:szCs w:val="21"/>
          <w:highlight w:val="none"/>
          <w:lang w:val="en-US" w:eastAsia="zh-CN"/>
        </w:rPr>
        <w:t xml:space="preserve">            </w:t>
      </w:r>
      <w:r/>
    </w:p>
    <w:tbl>
      <w:tblPr>
        <w:tblStyle w:val="790"/>
        <w:tblW w:w="94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8"/>
        <w:gridCol w:w="1316"/>
        <w:gridCol w:w="1298"/>
        <w:gridCol w:w="1359"/>
        <w:gridCol w:w="741"/>
        <w:gridCol w:w="778"/>
        <w:gridCol w:w="881"/>
        <w:gridCol w:w="1013"/>
        <w:gridCol w:w="1438"/>
      </w:tblGrid>
      <w:tr>
        <w:trPr>
          <w:jc w:val="center"/>
          <w:trHeight w:val="20"/>
        </w:trPr>
        <w:tc>
          <w:tcPr>
            <w:tcW w:w="638" w:type="dxa"/>
            <w:vAlign w:val="center"/>
            <w:textDirection w:val="lrTb"/>
            <w:noWrap w:val="false"/>
          </w:tcPr>
          <w:p>
            <w:pPr>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序号</w:t>
            </w:r>
            <w:r/>
          </w:p>
        </w:tc>
        <w:tc>
          <w:tcPr>
            <w:tcW w:w="1316" w:type="dxa"/>
            <w:vAlign w:val="center"/>
            <w:textDirection w:val="lrTb"/>
            <w:noWrap w:val="false"/>
          </w:tcPr>
          <w:p>
            <w:pPr>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标的物名称</w:t>
            </w:r>
            <w:r/>
          </w:p>
        </w:tc>
        <w:tc>
          <w:tcPr>
            <w:tcW w:w="1298" w:type="dxa"/>
            <w:vAlign w:val="center"/>
            <w:textDirection w:val="lrTb"/>
            <w:noWrap w:val="false"/>
          </w:tcPr>
          <w:p>
            <w:pPr>
              <w:rPr>
                <w:rFonts w:ascii="宋体" w:hAnsi="宋体"/>
                <w:color w:val="auto"/>
                <w:sz w:val="21"/>
                <w:szCs w:val="21"/>
                <w:highlight w:val="none"/>
              </w:rPr>
            </w:pPr>
            <w:r>
              <w:rPr>
                <w:rFonts w:hint="eastAsia" w:ascii="宋体" w:hAnsi="宋体"/>
                <w:color w:val="auto"/>
                <w:sz w:val="21"/>
                <w:szCs w:val="21"/>
                <w:highlight w:val="none"/>
                <w:lang w:val="zh-CN"/>
              </w:rPr>
              <w:t xml:space="preserve">品牌、</w:t>
            </w:r>
            <w:r>
              <w:rPr>
                <w:rFonts w:hint="eastAsia" w:ascii="宋体" w:hAnsi="宋体"/>
                <w:color w:val="auto"/>
                <w:sz w:val="21"/>
                <w:szCs w:val="21"/>
                <w:highlight w:val="none"/>
                <w:lang w:val="en-US" w:eastAsia="zh-CN"/>
              </w:rPr>
              <w:t xml:space="preserve">规格、</w:t>
            </w:r>
            <w:r>
              <w:rPr>
                <w:rFonts w:hint="eastAsia" w:ascii="宋体" w:hAnsi="宋体"/>
                <w:color w:val="auto"/>
                <w:sz w:val="21"/>
                <w:szCs w:val="21"/>
                <w:highlight w:val="none"/>
              </w:rPr>
              <w:t xml:space="preserve">型号</w:t>
            </w:r>
            <w:r/>
          </w:p>
        </w:tc>
        <w:tc>
          <w:tcPr>
            <w:tcW w:w="1359" w:type="dxa"/>
            <w:vAlign w:val="center"/>
            <w:textDirection w:val="lrTb"/>
            <w:noWrap w:val="false"/>
          </w:tcPr>
          <w:p>
            <w:pPr>
              <w:rPr>
                <w:rFonts w:ascii="宋体" w:hAnsi="宋体"/>
                <w:color w:val="auto"/>
                <w:sz w:val="21"/>
                <w:szCs w:val="21"/>
                <w:highlight w:val="none"/>
              </w:rPr>
            </w:pPr>
            <w:r>
              <w:rPr>
                <w:rFonts w:hint="eastAsia" w:ascii="宋体" w:hAnsi="宋体"/>
                <w:color w:val="auto"/>
                <w:sz w:val="21"/>
                <w:szCs w:val="21"/>
                <w:highlight w:val="none"/>
              </w:rPr>
              <w:t xml:space="preserve">生产厂家</w:t>
            </w:r>
            <w:r/>
          </w:p>
        </w:tc>
        <w:tc>
          <w:tcPr>
            <w:tcW w:w="741" w:type="dxa"/>
            <w:vAlign w:val="center"/>
            <w:textDirection w:val="lrTb"/>
            <w:noWrap w:val="false"/>
          </w:tcPr>
          <w:p>
            <w:pPr>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单位</w:t>
            </w:r>
            <w:r/>
          </w:p>
        </w:tc>
        <w:tc>
          <w:tcPr>
            <w:tcW w:w="778" w:type="dxa"/>
            <w:vAlign w:val="center"/>
            <w:textDirection w:val="lrTb"/>
            <w:noWrap w:val="false"/>
          </w:tcPr>
          <w:p>
            <w:pPr>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数量</w:t>
            </w:r>
            <w:r/>
          </w:p>
        </w:tc>
        <w:tc>
          <w:tcPr>
            <w:tcW w:w="881" w:type="dxa"/>
            <w:vAlign w:val="center"/>
            <w:textDirection w:val="lrTb"/>
            <w:noWrap w:val="false"/>
          </w:tcPr>
          <w:p>
            <w:pPr>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单价</w:t>
            </w:r>
            <w:r/>
          </w:p>
        </w:tc>
        <w:tc>
          <w:tcPr>
            <w:tcW w:w="1013" w:type="dxa"/>
            <w:vAlign w:val="center"/>
            <w:textDirection w:val="lrTb"/>
            <w:noWrap w:val="false"/>
          </w:tcPr>
          <w:p>
            <w:pPr>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总价</w:t>
            </w:r>
            <w:r/>
          </w:p>
        </w:tc>
        <w:tc>
          <w:tcPr>
            <w:tcW w:w="1438" w:type="dxa"/>
            <w:vAlign w:val="center"/>
            <w:textDirection w:val="lrTb"/>
            <w:noWrap w:val="false"/>
          </w:tcPr>
          <w:p>
            <w:pPr>
              <w:rPr>
                <w:rFonts w:ascii="宋体" w:hAnsi="宋体"/>
                <w:color w:val="auto"/>
                <w:sz w:val="21"/>
                <w:szCs w:val="21"/>
                <w:highlight w:val="none"/>
              </w:rPr>
            </w:pPr>
            <w:r>
              <w:rPr>
                <w:rFonts w:hint="eastAsia" w:ascii="宋体" w:hAnsi="宋体"/>
                <w:color w:val="auto"/>
                <w:sz w:val="21"/>
                <w:szCs w:val="21"/>
                <w:highlight w:val="none"/>
              </w:rPr>
              <w:t xml:space="preserve">备注</w:t>
            </w:r>
            <w:r/>
          </w:p>
        </w:tc>
      </w:tr>
      <w:tr>
        <w:trPr>
          <w:jc w:val="center"/>
          <w:trHeight w:val="20"/>
        </w:trPr>
        <w:tc>
          <w:tcPr>
            <w:tcW w:w="638" w:type="dxa"/>
            <w:vAlign w:val="center"/>
            <w:textDirection w:val="lrTb"/>
            <w:noWrap w:val="false"/>
          </w:tcPr>
          <w:p>
            <w:pPr>
              <w:ind w:firstLine="422"/>
              <w:jc w:val="center"/>
              <w:rPr>
                <w:rFonts w:ascii="宋体" w:hAnsi="宋体"/>
                <w:color w:val="auto"/>
                <w:sz w:val="21"/>
                <w:szCs w:val="21"/>
                <w:highlight w:val="none"/>
                <w:lang w:val="zh-CN"/>
              </w:rPr>
            </w:pPr>
            <w:r>
              <w:rPr>
                <w:rFonts w:ascii="宋体" w:hAnsi="宋体"/>
                <w:color w:val="auto"/>
                <w:sz w:val="21"/>
                <w:szCs w:val="21"/>
                <w:highlight w:val="none"/>
                <w:lang w:val="zh-CN"/>
              </w:rPr>
            </w:r>
            <w:r/>
          </w:p>
        </w:tc>
        <w:tc>
          <w:tcPr>
            <w:tcW w:w="1316" w:type="dxa"/>
            <w:vAlign w:val="center"/>
            <w:textDirection w:val="lrTb"/>
            <w:noWrap w:val="false"/>
          </w:tcPr>
          <w:p>
            <w:pPr>
              <w:ind w:firstLine="422"/>
              <w:jc w:val="center"/>
              <w:rPr>
                <w:rFonts w:ascii="宋体" w:hAnsi="宋体"/>
                <w:color w:val="auto"/>
                <w:sz w:val="21"/>
                <w:szCs w:val="21"/>
                <w:highlight w:val="none"/>
                <w:lang w:val="zh-CN"/>
              </w:rPr>
            </w:pPr>
            <w:r>
              <w:rPr>
                <w:rFonts w:ascii="宋体" w:hAnsi="宋体"/>
                <w:color w:val="auto"/>
                <w:sz w:val="21"/>
                <w:szCs w:val="21"/>
                <w:highlight w:val="none"/>
                <w:lang w:val="zh-CN"/>
              </w:rPr>
            </w:r>
            <w:r/>
          </w:p>
        </w:tc>
        <w:tc>
          <w:tcPr>
            <w:tcW w:w="1298" w:type="dxa"/>
            <w:vAlign w:val="center"/>
            <w:textDirection w:val="lrTb"/>
            <w:noWrap w:val="false"/>
          </w:tcPr>
          <w:p>
            <w:pPr>
              <w:ind w:firstLine="422"/>
              <w:jc w:val="center"/>
              <w:rPr>
                <w:rFonts w:ascii="宋体" w:hAnsi="宋体"/>
                <w:color w:val="auto"/>
                <w:sz w:val="21"/>
                <w:szCs w:val="21"/>
                <w:highlight w:val="none"/>
                <w:lang w:val="zh-CN"/>
              </w:rPr>
            </w:pPr>
            <w:r>
              <w:rPr>
                <w:rFonts w:ascii="宋体" w:hAnsi="宋体"/>
                <w:color w:val="auto"/>
                <w:sz w:val="21"/>
                <w:szCs w:val="21"/>
                <w:highlight w:val="none"/>
                <w:lang w:val="zh-CN"/>
              </w:rPr>
            </w:r>
            <w:r/>
          </w:p>
        </w:tc>
        <w:tc>
          <w:tcPr>
            <w:tcW w:w="1359" w:type="dxa"/>
            <w:vAlign w:val="center"/>
            <w:textDirection w:val="lrTb"/>
            <w:noWrap w:val="false"/>
          </w:tcPr>
          <w:p>
            <w:pPr>
              <w:ind w:firstLine="422"/>
              <w:jc w:val="center"/>
              <w:rPr>
                <w:rFonts w:ascii="宋体" w:hAnsi="宋体"/>
                <w:color w:val="auto"/>
                <w:sz w:val="21"/>
                <w:szCs w:val="21"/>
                <w:highlight w:val="none"/>
              </w:rPr>
            </w:pPr>
            <w:r>
              <w:rPr>
                <w:rFonts w:ascii="宋体" w:hAnsi="宋体"/>
                <w:color w:val="auto"/>
                <w:sz w:val="21"/>
                <w:szCs w:val="21"/>
                <w:highlight w:val="none"/>
              </w:rPr>
            </w:r>
            <w:r/>
          </w:p>
        </w:tc>
        <w:tc>
          <w:tcPr>
            <w:tcW w:w="741" w:type="dxa"/>
            <w:vAlign w:val="center"/>
            <w:textDirection w:val="lrTb"/>
            <w:noWrap w:val="false"/>
          </w:tcPr>
          <w:p>
            <w:pPr>
              <w:ind w:firstLine="422"/>
              <w:jc w:val="center"/>
              <w:rPr>
                <w:rFonts w:ascii="宋体" w:hAnsi="宋体"/>
                <w:color w:val="auto"/>
                <w:sz w:val="21"/>
                <w:szCs w:val="21"/>
                <w:highlight w:val="none"/>
                <w:lang w:val="zh-CN"/>
              </w:rPr>
            </w:pPr>
            <w:r>
              <w:rPr>
                <w:rFonts w:ascii="宋体" w:hAnsi="宋体"/>
                <w:color w:val="auto"/>
                <w:sz w:val="21"/>
                <w:szCs w:val="21"/>
                <w:highlight w:val="none"/>
                <w:lang w:val="zh-CN"/>
              </w:rPr>
            </w:r>
            <w:r/>
          </w:p>
        </w:tc>
        <w:tc>
          <w:tcPr>
            <w:tcW w:w="778" w:type="dxa"/>
            <w:vAlign w:val="center"/>
            <w:textDirection w:val="lrTb"/>
            <w:noWrap w:val="false"/>
          </w:tcPr>
          <w:p>
            <w:pPr>
              <w:ind w:firstLine="422"/>
              <w:jc w:val="center"/>
              <w:rPr>
                <w:rFonts w:ascii="宋体" w:hAnsi="宋体"/>
                <w:color w:val="auto"/>
                <w:sz w:val="21"/>
                <w:szCs w:val="21"/>
                <w:highlight w:val="none"/>
                <w:lang w:val="zh-CN"/>
              </w:rPr>
            </w:pPr>
            <w:r>
              <w:rPr>
                <w:rFonts w:ascii="宋体" w:hAnsi="宋体"/>
                <w:color w:val="auto"/>
                <w:sz w:val="21"/>
                <w:szCs w:val="21"/>
                <w:highlight w:val="none"/>
                <w:lang w:val="zh-CN"/>
              </w:rPr>
            </w:r>
            <w:r/>
          </w:p>
        </w:tc>
        <w:tc>
          <w:tcPr>
            <w:tcW w:w="881" w:type="dxa"/>
            <w:vAlign w:val="center"/>
            <w:textDirection w:val="lrTb"/>
            <w:noWrap w:val="false"/>
          </w:tcPr>
          <w:p>
            <w:pPr>
              <w:ind w:firstLine="422"/>
              <w:jc w:val="center"/>
              <w:rPr>
                <w:rFonts w:ascii="宋体" w:hAnsi="宋体"/>
                <w:color w:val="auto"/>
                <w:sz w:val="21"/>
                <w:szCs w:val="21"/>
                <w:highlight w:val="none"/>
                <w:lang w:val="zh-CN"/>
              </w:rPr>
            </w:pPr>
            <w:r>
              <w:rPr>
                <w:rFonts w:ascii="宋体" w:hAnsi="宋体"/>
                <w:color w:val="auto"/>
                <w:sz w:val="21"/>
                <w:szCs w:val="21"/>
                <w:highlight w:val="none"/>
                <w:lang w:val="zh-CN"/>
              </w:rPr>
            </w:r>
            <w:r/>
          </w:p>
        </w:tc>
        <w:tc>
          <w:tcPr>
            <w:tcW w:w="1013" w:type="dxa"/>
            <w:vAlign w:val="center"/>
            <w:textDirection w:val="lrTb"/>
            <w:noWrap w:val="false"/>
          </w:tcPr>
          <w:p>
            <w:pPr>
              <w:ind w:firstLine="422"/>
              <w:jc w:val="center"/>
              <w:rPr>
                <w:rFonts w:ascii="宋体" w:hAnsi="宋体"/>
                <w:color w:val="auto"/>
                <w:sz w:val="21"/>
                <w:szCs w:val="21"/>
                <w:highlight w:val="none"/>
                <w:lang w:val="zh-CN"/>
              </w:rPr>
            </w:pPr>
            <w:r>
              <w:rPr>
                <w:rFonts w:ascii="宋体" w:hAnsi="宋体"/>
                <w:color w:val="auto"/>
                <w:sz w:val="21"/>
                <w:szCs w:val="21"/>
                <w:highlight w:val="none"/>
                <w:lang w:val="zh-CN"/>
              </w:rPr>
            </w:r>
            <w:r/>
          </w:p>
        </w:tc>
        <w:tc>
          <w:tcPr>
            <w:tcW w:w="1438" w:type="dxa"/>
            <w:vAlign w:val="center"/>
            <w:textDirection w:val="lrTb"/>
            <w:noWrap w:val="false"/>
          </w:tcPr>
          <w:p>
            <w:pPr>
              <w:ind w:firstLine="422"/>
              <w:jc w:val="center"/>
              <w:rPr>
                <w:rFonts w:ascii="宋体" w:hAnsi="宋体"/>
                <w:color w:val="auto"/>
                <w:sz w:val="21"/>
                <w:szCs w:val="21"/>
                <w:highlight w:val="none"/>
              </w:rPr>
            </w:pPr>
            <w:r>
              <w:rPr>
                <w:rFonts w:ascii="宋体" w:hAnsi="宋体"/>
                <w:color w:val="auto"/>
                <w:sz w:val="21"/>
                <w:szCs w:val="21"/>
                <w:highlight w:val="none"/>
              </w:rPr>
            </w:r>
            <w:r/>
          </w:p>
        </w:tc>
      </w:tr>
      <w:tr>
        <w:trPr>
          <w:jc w:val="center"/>
          <w:trHeight w:val="20"/>
        </w:trPr>
        <w:tc>
          <w:tcPr>
            <w:tcW w:w="638" w:type="dxa"/>
            <w:vAlign w:val="center"/>
            <w:textDirection w:val="lrTb"/>
            <w:noWrap w:val="false"/>
          </w:tcPr>
          <w:p>
            <w:pPr>
              <w:ind w:firstLine="422"/>
              <w:jc w:val="center"/>
              <w:rPr>
                <w:rFonts w:ascii="宋体" w:hAnsi="宋体"/>
                <w:color w:val="auto"/>
                <w:sz w:val="21"/>
                <w:szCs w:val="21"/>
                <w:highlight w:val="none"/>
                <w:lang w:val="zh-CN"/>
              </w:rPr>
            </w:pPr>
            <w:r>
              <w:rPr>
                <w:rFonts w:ascii="宋体" w:hAnsi="宋体"/>
                <w:color w:val="auto"/>
                <w:sz w:val="21"/>
                <w:szCs w:val="21"/>
                <w:highlight w:val="none"/>
                <w:lang w:val="zh-CN"/>
              </w:rPr>
            </w:r>
            <w:r/>
          </w:p>
        </w:tc>
        <w:tc>
          <w:tcPr>
            <w:tcW w:w="1316" w:type="dxa"/>
            <w:vAlign w:val="center"/>
            <w:textDirection w:val="lrTb"/>
            <w:noWrap w:val="false"/>
          </w:tcPr>
          <w:p>
            <w:pPr>
              <w:ind w:firstLine="422"/>
              <w:jc w:val="center"/>
              <w:rPr>
                <w:rFonts w:ascii="宋体" w:hAnsi="宋体"/>
                <w:color w:val="auto"/>
                <w:sz w:val="21"/>
                <w:szCs w:val="21"/>
                <w:highlight w:val="none"/>
                <w:lang w:val="zh-CN"/>
              </w:rPr>
            </w:pPr>
            <w:r>
              <w:rPr>
                <w:rFonts w:ascii="宋体" w:hAnsi="宋体"/>
                <w:color w:val="auto"/>
                <w:sz w:val="21"/>
                <w:szCs w:val="21"/>
                <w:highlight w:val="none"/>
                <w:lang w:val="zh-CN"/>
              </w:rPr>
            </w:r>
            <w:r/>
          </w:p>
        </w:tc>
        <w:tc>
          <w:tcPr>
            <w:tcW w:w="1298" w:type="dxa"/>
            <w:vAlign w:val="center"/>
            <w:textDirection w:val="lrTb"/>
            <w:noWrap w:val="false"/>
          </w:tcPr>
          <w:p>
            <w:pPr>
              <w:ind w:firstLine="422"/>
              <w:jc w:val="center"/>
              <w:rPr>
                <w:rFonts w:ascii="宋体" w:hAnsi="宋体"/>
                <w:color w:val="auto"/>
                <w:sz w:val="21"/>
                <w:szCs w:val="21"/>
                <w:highlight w:val="none"/>
                <w:lang w:val="zh-CN"/>
              </w:rPr>
            </w:pPr>
            <w:r>
              <w:rPr>
                <w:rFonts w:ascii="宋体" w:hAnsi="宋体"/>
                <w:color w:val="auto"/>
                <w:sz w:val="21"/>
                <w:szCs w:val="21"/>
                <w:highlight w:val="none"/>
                <w:lang w:val="zh-CN"/>
              </w:rPr>
            </w:r>
            <w:r/>
          </w:p>
        </w:tc>
        <w:tc>
          <w:tcPr>
            <w:tcW w:w="1359" w:type="dxa"/>
            <w:vAlign w:val="center"/>
            <w:textDirection w:val="lrTb"/>
            <w:noWrap w:val="false"/>
          </w:tcPr>
          <w:p>
            <w:pPr>
              <w:ind w:firstLine="422"/>
              <w:jc w:val="center"/>
              <w:rPr>
                <w:rFonts w:ascii="宋体" w:hAnsi="宋体"/>
                <w:color w:val="auto"/>
                <w:sz w:val="21"/>
                <w:szCs w:val="21"/>
                <w:highlight w:val="none"/>
              </w:rPr>
            </w:pPr>
            <w:r>
              <w:rPr>
                <w:rFonts w:ascii="宋体" w:hAnsi="宋体"/>
                <w:color w:val="auto"/>
                <w:sz w:val="21"/>
                <w:szCs w:val="21"/>
                <w:highlight w:val="none"/>
              </w:rPr>
            </w:r>
            <w:r/>
          </w:p>
        </w:tc>
        <w:tc>
          <w:tcPr>
            <w:tcW w:w="741" w:type="dxa"/>
            <w:vAlign w:val="center"/>
            <w:textDirection w:val="lrTb"/>
            <w:noWrap w:val="false"/>
          </w:tcPr>
          <w:p>
            <w:pPr>
              <w:ind w:firstLine="422"/>
              <w:jc w:val="center"/>
              <w:rPr>
                <w:rFonts w:ascii="宋体" w:hAnsi="宋体"/>
                <w:color w:val="auto"/>
                <w:sz w:val="21"/>
                <w:szCs w:val="21"/>
                <w:highlight w:val="none"/>
                <w:lang w:val="zh-CN"/>
              </w:rPr>
            </w:pPr>
            <w:r>
              <w:rPr>
                <w:rFonts w:ascii="宋体" w:hAnsi="宋体"/>
                <w:color w:val="auto"/>
                <w:sz w:val="21"/>
                <w:szCs w:val="21"/>
                <w:highlight w:val="none"/>
                <w:lang w:val="zh-CN"/>
              </w:rPr>
            </w:r>
            <w:r/>
          </w:p>
        </w:tc>
        <w:tc>
          <w:tcPr>
            <w:tcW w:w="778" w:type="dxa"/>
            <w:vAlign w:val="center"/>
            <w:textDirection w:val="lrTb"/>
            <w:noWrap w:val="false"/>
          </w:tcPr>
          <w:p>
            <w:pPr>
              <w:ind w:firstLine="422"/>
              <w:jc w:val="center"/>
              <w:rPr>
                <w:rFonts w:ascii="宋体" w:hAnsi="宋体"/>
                <w:color w:val="auto"/>
                <w:sz w:val="21"/>
                <w:szCs w:val="21"/>
                <w:highlight w:val="none"/>
                <w:lang w:val="zh-CN"/>
              </w:rPr>
            </w:pPr>
            <w:r>
              <w:rPr>
                <w:rFonts w:ascii="宋体" w:hAnsi="宋体"/>
                <w:color w:val="auto"/>
                <w:sz w:val="21"/>
                <w:szCs w:val="21"/>
                <w:highlight w:val="none"/>
                <w:lang w:val="zh-CN"/>
              </w:rPr>
            </w:r>
            <w:r/>
          </w:p>
        </w:tc>
        <w:tc>
          <w:tcPr>
            <w:tcW w:w="881" w:type="dxa"/>
            <w:vAlign w:val="center"/>
            <w:textDirection w:val="lrTb"/>
            <w:noWrap w:val="false"/>
          </w:tcPr>
          <w:p>
            <w:pPr>
              <w:ind w:firstLine="422"/>
              <w:jc w:val="center"/>
              <w:rPr>
                <w:rFonts w:ascii="宋体" w:hAnsi="宋体"/>
                <w:color w:val="auto"/>
                <w:sz w:val="21"/>
                <w:szCs w:val="21"/>
                <w:highlight w:val="none"/>
                <w:lang w:val="zh-CN"/>
              </w:rPr>
            </w:pPr>
            <w:r>
              <w:rPr>
                <w:rFonts w:ascii="宋体" w:hAnsi="宋体"/>
                <w:color w:val="auto"/>
                <w:sz w:val="21"/>
                <w:szCs w:val="21"/>
                <w:highlight w:val="none"/>
                <w:lang w:val="zh-CN"/>
              </w:rPr>
            </w:r>
            <w:r/>
          </w:p>
        </w:tc>
        <w:tc>
          <w:tcPr>
            <w:tcW w:w="1013" w:type="dxa"/>
            <w:vAlign w:val="center"/>
            <w:textDirection w:val="lrTb"/>
            <w:noWrap w:val="false"/>
          </w:tcPr>
          <w:p>
            <w:pPr>
              <w:ind w:firstLine="422"/>
              <w:jc w:val="center"/>
              <w:rPr>
                <w:rFonts w:ascii="宋体" w:hAnsi="宋体"/>
                <w:color w:val="auto"/>
                <w:sz w:val="21"/>
                <w:szCs w:val="21"/>
                <w:highlight w:val="none"/>
                <w:lang w:val="zh-CN"/>
              </w:rPr>
            </w:pPr>
            <w:r>
              <w:rPr>
                <w:rFonts w:ascii="宋体" w:hAnsi="宋体"/>
                <w:color w:val="auto"/>
                <w:sz w:val="21"/>
                <w:szCs w:val="21"/>
                <w:highlight w:val="none"/>
                <w:lang w:val="zh-CN"/>
              </w:rPr>
            </w:r>
            <w:r/>
          </w:p>
        </w:tc>
        <w:tc>
          <w:tcPr>
            <w:tcW w:w="1438" w:type="dxa"/>
            <w:vAlign w:val="center"/>
            <w:textDirection w:val="lrTb"/>
            <w:noWrap w:val="false"/>
          </w:tcPr>
          <w:p>
            <w:pPr>
              <w:ind w:firstLine="422"/>
              <w:jc w:val="center"/>
              <w:rPr>
                <w:rFonts w:ascii="宋体" w:hAnsi="宋体"/>
                <w:color w:val="auto"/>
                <w:sz w:val="21"/>
                <w:szCs w:val="21"/>
                <w:highlight w:val="none"/>
              </w:rPr>
            </w:pPr>
            <w:r>
              <w:rPr>
                <w:rFonts w:ascii="宋体" w:hAnsi="宋体"/>
                <w:color w:val="auto"/>
                <w:sz w:val="21"/>
                <w:szCs w:val="21"/>
                <w:highlight w:val="none"/>
              </w:rPr>
            </w:r>
            <w:r/>
          </w:p>
        </w:tc>
      </w:tr>
      <w:tr>
        <w:trPr>
          <w:jc w:val="center"/>
          <w:trHeight w:val="20"/>
        </w:trPr>
        <w:tc>
          <w:tcPr>
            <w:tcW w:w="638" w:type="dxa"/>
            <w:vAlign w:val="center"/>
            <w:textDirection w:val="lrTb"/>
            <w:noWrap w:val="false"/>
          </w:tcPr>
          <w:p>
            <w:pPr>
              <w:ind w:firstLine="422"/>
              <w:jc w:val="center"/>
              <w:rPr>
                <w:rFonts w:ascii="宋体" w:hAnsi="宋体"/>
                <w:color w:val="auto"/>
                <w:sz w:val="21"/>
                <w:szCs w:val="21"/>
                <w:highlight w:val="none"/>
                <w:lang w:val="zh-CN"/>
              </w:rPr>
            </w:pPr>
            <w:r>
              <w:rPr>
                <w:rFonts w:ascii="宋体" w:hAnsi="宋体"/>
                <w:color w:val="auto"/>
                <w:sz w:val="21"/>
                <w:szCs w:val="21"/>
                <w:highlight w:val="none"/>
                <w:lang w:val="zh-CN"/>
              </w:rPr>
            </w:r>
            <w:r/>
          </w:p>
        </w:tc>
        <w:tc>
          <w:tcPr>
            <w:tcW w:w="1316" w:type="dxa"/>
            <w:vAlign w:val="center"/>
            <w:textDirection w:val="lrTb"/>
            <w:noWrap w:val="false"/>
          </w:tcPr>
          <w:p>
            <w:pPr>
              <w:ind w:firstLine="422"/>
              <w:jc w:val="center"/>
              <w:rPr>
                <w:rFonts w:ascii="宋体" w:hAnsi="宋体"/>
                <w:color w:val="auto"/>
                <w:sz w:val="21"/>
                <w:szCs w:val="21"/>
                <w:highlight w:val="none"/>
                <w:lang w:val="zh-CN"/>
              </w:rPr>
            </w:pPr>
            <w:r>
              <w:rPr>
                <w:rFonts w:ascii="宋体" w:hAnsi="宋体"/>
                <w:color w:val="auto"/>
                <w:sz w:val="21"/>
                <w:szCs w:val="21"/>
                <w:highlight w:val="none"/>
                <w:lang w:val="zh-CN"/>
              </w:rPr>
            </w:r>
            <w:r/>
          </w:p>
        </w:tc>
        <w:tc>
          <w:tcPr>
            <w:tcW w:w="1298" w:type="dxa"/>
            <w:vAlign w:val="center"/>
            <w:textDirection w:val="lrTb"/>
            <w:noWrap w:val="false"/>
          </w:tcPr>
          <w:p>
            <w:pPr>
              <w:ind w:firstLine="422"/>
              <w:jc w:val="center"/>
              <w:rPr>
                <w:rFonts w:ascii="宋体" w:hAnsi="宋体"/>
                <w:color w:val="auto"/>
                <w:sz w:val="21"/>
                <w:szCs w:val="21"/>
                <w:highlight w:val="none"/>
                <w:lang w:val="zh-CN"/>
              </w:rPr>
            </w:pPr>
            <w:r>
              <w:rPr>
                <w:rFonts w:ascii="宋体" w:hAnsi="宋体"/>
                <w:color w:val="auto"/>
                <w:sz w:val="21"/>
                <w:szCs w:val="21"/>
                <w:highlight w:val="none"/>
                <w:lang w:val="zh-CN"/>
              </w:rPr>
            </w:r>
            <w:r/>
          </w:p>
        </w:tc>
        <w:tc>
          <w:tcPr>
            <w:tcW w:w="1359" w:type="dxa"/>
            <w:vAlign w:val="center"/>
            <w:textDirection w:val="lrTb"/>
            <w:noWrap w:val="false"/>
          </w:tcPr>
          <w:p>
            <w:pPr>
              <w:ind w:firstLine="422"/>
              <w:jc w:val="center"/>
              <w:rPr>
                <w:rFonts w:ascii="宋体" w:hAnsi="宋体"/>
                <w:color w:val="auto"/>
                <w:sz w:val="21"/>
                <w:szCs w:val="21"/>
                <w:highlight w:val="none"/>
              </w:rPr>
            </w:pPr>
            <w:r>
              <w:rPr>
                <w:rFonts w:ascii="宋体" w:hAnsi="宋体"/>
                <w:color w:val="auto"/>
                <w:sz w:val="21"/>
                <w:szCs w:val="21"/>
                <w:highlight w:val="none"/>
              </w:rPr>
            </w:r>
            <w:r/>
          </w:p>
        </w:tc>
        <w:tc>
          <w:tcPr>
            <w:tcW w:w="741" w:type="dxa"/>
            <w:vAlign w:val="center"/>
            <w:textDirection w:val="lrTb"/>
            <w:noWrap w:val="false"/>
          </w:tcPr>
          <w:p>
            <w:pPr>
              <w:ind w:firstLine="422"/>
              <w:jc w:val="center"/>
              <w:rPr>
                <w:rFonts w:ascii="宋体" w:hAnsi="宋体"/>
                <w:color w:val="auto"/>
                <w:sz w:val="21"/>
                <w:szCs w:val="21"/>
                <w:highlight w:val="none"/>
                <w:lang w:val="zh-CN"/>
              </w:rPr>
            </w:pPr>
            <w:r>
              <w:rPr>
                <w:rFonts w:ascii="宋体" w:hAnsi="宋体"/>
                <w:color w:val="auto"/>
                <w:sz w:val="21"/>
                <w:szCs w:val="21"/>
                <w:highlight w:val="none"/>
                <w:lang w:val="zh-CN"/>
              </w:rPr>
            </w:r>
            <w:r/>
          </w:p>
        </w:tc>
        <w:tc>
          <w:tcPr>
            <w:tcW w:w="778" w:type="dxa"/>
            <w:vAlign w:val="center"/>
            <w:textDirection w:val="lrTb"/>
            <w:noWrap w:val="false"/>
          </w:tcPr>
          <w:p>
            <w:pPr>
              <w:ind w:firstLine="422"/>
              <w:jc w:val="center"/>
              <w:rPr>
                <w:rFonts w:ascii="宋体" w:hAnsi="宋体"/>
                <w:color w:val="auto"/>
                <w:sz w:val="21"/>
                <w:szCs w:val="21"/>
                <w:highlight w:val="none"/>
                <w:lang w:val="zh-CN"/>
              </w:rPr>
            </w:pPr>
            <w:r>
              <w:rPr>
                <w:rFonts w:ascii="宋体" w:hAnsi="宋体"/>
                <w:color w:val="auto"/>
                <w:sz w:val="21"/>
                <w:szCs w:val="21"/>
                <w:highlight w:val="none"/>
                <w:lang w:val="zh-CN"/>
              </w:rPr>
            </w:r>
            <w:r/>
          </w:p>
        </w:tc>
        <w:tc>
          <w:tcPr>
            <w:tcW w:w="881" w:type="dxa"/>
            <w:vAlign w:val="center"/>
            <w:textDirection w:val="lrTb"/>
            <w:noWrap w:val="false"/>
          </w:tcPr>
          <w:p>
            <w:pPr>
              <w:ind w:firstLine="422"/>
              <w:jc w:val="center"/>
              <w:rPr>
                <w:rFonts w:ascii="宋体" w:hAnsi="宋体"/>
                <w:color w:val="auto"/>
                <w:sz w:val="21"/>
                <w:szCs w:val="21"/>
                <w:highlight w:val="none"/>
                <w:lang w:val="zh-CN"/>
              </w:rPr>
            </w:pPr>
            <w:r>
              <w:rPr>
                <w:rFonts w:ascii="宋体" w:hAnsi="宋体"/>
                <w:color w:val="auto"/>
                <w:sz w:val="21"/>
                <w:szCs w:val="21"/>
                <w:highlight w:val="none"/>
                <w:lang w:val="zh-CN"/>
              </w:rPr>
            </w:r>
            <w:r/>
          </w:p>
        </w:tc>
        <w:tc>
          <w:tcPr>
            <w:tcW w:w="1013" w:type="dxa"/>
            <w:vAlign w:val="center"/>
            <w:textDirection w:val="lrTb"/>
            <w:noWrap w:val="false"/>
          </w:tcPr>
          <w:p>
            <w:pPr>
              <w:ind w:firstLine="422"/>
              <w:jc w:val="center"/>
              <w:rPr>
                <w:rFonts w:ascii="宋体" w:hAnsi="宋体"/>
                <w:color w:val="auto"/>
                <w:sz w:val="21"/>
                <w:szCs w:val="21"/>
                <w:highlight w:val="none"/>
                <w:lang w:val="zh-CN"/>
              </w:rPr>
            </w:pPr>
            <w:r>
              <w:rPr>
                <w:rFonts w:ascii="宋体" w:hAnsi="宋体"/>
                <w:color w:val="auto"/>
                <w:sz w:val="21"/>
                <w:szCs w:val="21"/>
                <w:highlight w:val="none"/>
                <w:lang w:val="zh-CN"/>
              </w:rPr>
            </w:r>
            <w:r/>
          </w:p>
        </w:tc>
        <w:tc>
          <w:tcPr>
            <w:tcW w:w="1438" w:type="dxa"/>
            <w:vAlign w:val="center"/>
            <w:textDirection w:val="lrTb"/>
            <w:noWrap w:val="false"/>
          </w:tcPr>
          <w:p>
            <w:pPr>
              <w:ind w:firstLine="422"/>
              <w:jc w:val="center"/>
              <w:rPr>
                <w:rFonts w:ascii="宋体" w:hAnsi="宋体"/>
                <w:color w:val="auto"/>
                <w:sz w:val="21"/>
                <w:szCs w:val="21"/>
                <w:highlight w:val="none"/>
              </w:rPr>
            </w:pPr>
            <w:r>
              <w:rPr>
                <w:rFonts w:ascii="宋体" w:hAnsi="宋体"/>
                <w:color w:val="auto"/>
                <w:sz w:val="21"/>
                <w:szCs w:val="21"/>
                <w:highlight w:val="none"/>
              </w:rPr>
            </w:r>
            <w:r/>
          </w:p>
        </w:tc>
      </w:tr>
      <w:tr>
        <w:trPr>
          <w:jc w:val="center"/>
          <w:trHeight w:val="20"/>
        </w:trPr>
        <w:tc>
          <w:tcPr>
            <w:tcW w:w="638" w:type="dxa"/>
            <w:vAlign w:val="center"/>
            <w:textDirection w:val="lrTb"/>
            <w:noWrap w:val="false"/>
          </w:tcPr>
          <w:p>
            <w:pPr>
              <w:ind w:firstLine="422"/>
              <w:jc w:val="center"/>
              <w:rPr>
                <w:rFonts w:ascii="宋体" w:hAnsi="宋体"/>
                <w:color w:val="auto"/>
                <w:sz w:val="21"/>
                <w:szCs w:val="21"/>
                <w:highlight w:val="none"/>
                <w:lang w:val="zh-CN"/>
              </w:rPr>
            </w:pPr>
            <w:r>
              <w:rPr>
                <w:rFonts w:ascii="宋体" w:hAnsi="宋体"/>
                <w:color w:val="auto"/>
                <w:sz w:val="21"/>
                <w:szCs w:val="21"/>
                <w:highlight w:val="none"/>
                <w:lang w:val="zh-CN"/>
              </w:rPr>
            </w:r>
            <w:r/>
          </w:p>
        </w:tc>
        <w:tc>
          <w:tcPr>
            <w:tcW w:w="1316" w:type="dxa"/>
            <w:vAlign w:val="center"/>
            <w:textDirection w:val="lrTb"/>
            <w:noWrap w:val="false"/>
          </w:tcPr>
          <w:p>
            <w:pPr>
              <w:ind w:firstLine="422"/>
              <w:jc w:val="center"/>
              <w:rPr>
                <w:rFonts w:ascii="宋体" w:hAnsi="宋体"/>
                <w:color w:val="auto"/>
                <w:sz w:val="21"/>
                <w:szCs w:val="21"/>
                <w:highlight w:val="none"/>
                <w:lang w:val="zh-CN"/>
              </w:rPr>
            </w:pPr>
            <w:r>
              <w:rPr>
                <w:rFonts w:ascii="宋体" w:hAnsi="宋体"/>
                <w:color w:val="auto"/>
                <w:sz w:val="21"/>
                <w:szCs w:val="21"/>
                <w:highlight w:val="none"/>
                <w:lang w:val="zh-CN"/>
              </w:rPr>
            </w:r>
            <w:r/>
          </w:p>
        </w:tc>
        <w:tc>
          <w:tcPr>
            <w:tcW w:w="1298" w:type="dxa"/>
            <w:vAlign w:val="center"/>
            <w:textDirection w:val="lrTb"/>
            <w:noWrap w:val="false"/>
          </w:tcPr>
          <w:p>
            <w:pPr>
              <w:ind w:firstLine="422"/>
              <w:jc w:val="center"/>
              <w:rPr>
                <w:rFonts w:ascii="宋体" w:hAnsi="宋体"/>
                <w:color w:val="auto"/>
                <w:sz w:val="21"/>
                <w:szCs w:val="21"/>
                <w:highlight w:val="none"/>
                <w:lang w:val="zh-CN"/>
              </w:rPr>
            </w:pPr>
            <w:r>
              <w:rPr>
                <w:rFonts w:ascii="宋体" w:hAnsi="宋体"/>
                <w:color w:val="auto"/>
                <w:sz w:val="21"/>
                <w:szCs w:val="21"/>
                <w:highlight w:val="none"/>
                <w:lang w:val="zh-CN"/>
              </w:rPr>
            </w:r>
            <w:r/>
          </w:p>
        </w:tc>
        <w:tc>
          <w:tcPr>
            <w:tcW w:w="1359" w:type="dxa"/>
            <w:vAlign w:val="center"/>
            <w:textDirection w:val="lrTb"/>
            <w:noWrap w:val="false"/>
          </w:tcPr>
          <w:p>
            <w:pPr>
              <w:ind w:firstLine="422"/>
              <w:jc w:val="center"/>
              <w:rPr>
                <w:rFonts w:ascii="宋体" w:hAnsi="宋体"/>
                <w:color w:val="auto"/>
                <w:sz w:val="21"/>
                <w:szCs w:val="21"/>
                <w:highlight w:val="none"/>
              </w:rPr>
            </w:pPr>
            <w:r>
              <w:rPr>
                <w:rFonts w:ascii="宋体" w:hAnsi="宋体"/>
                <w:color w:val="auto"/>
                <w:sz w:val="21"/>
                <w:szCs w:val="21"/>
                <w:highlight w:val="none"/>
              </w:rPr>
            </w:r>
            <w:r/>
          </w:p>
        </w:tc>
        <w:tc>
          <w:tcPr>
            <w:tcW w:w="741" w:type="dxa"/>
            <w:vAlign w:val="center"/>
            <w:textDirection w:val="lrTb"/>
            <w:noWrap w:val="false"/>
          </w:tcPr>
          <w:p>
            <w:pPr>
              <w:ind w:firstLine="422"/>
              <w:jc w:val="center"/>
              <w:rPr>
                <w:rFonts w:ascii="宋体" w:hAnsi="宋体"/>
                <w:color w:val="auto"/>
                <w:sz w:val="21"/>
                <w:szCs w:val="21"/>
                <w:highlight w:val="none"/>
                <w:lang w:val="zh-CN"/>
              </w:rPr>
            </w:pPr>
            <w:r>
              <w:rPr>
                <w:rFonts w:ascii="宋体" w:hAnsi="宋体"/>
                <w:color w:val="auto"/>
                <w:sz w:val="21"/>
                <w:szCs w:val="21"/>
                <w:highlight w:val="none"/>
                <w:lang w:val="zh-CN"/>
              </w:rPr>
            </w:r>
            <w:r/>
          </w:p>
        </w:tc>
        <w:tc>
          <w:tcPr>
            <w:tcW w:w="778" w:type="dxa"/>
            <w:vAlign w:val="center"/>
            <w:textDirection w:val="lrTb"/>
            <w:noWrap w:val="false"/>
          </w:tcPr>
          <w:p>
            <w:pPr>
              <w:ind w:firstLine="422"/>
              <w:jc w:val="center"/>
              <w:rPr>
                <w:rFonts w:ascii="宋体" w:hAnsi="宋体"/>
                <w:color w:val="auto"/>
                <w:sz w:val="21"/>
                <w:szCs w:val="21"/>
                <w:highlight w:val="none"/>
                <w:lang w:val="zh-CN"/>
              </w:rPr>
            </w:pPr>
            <w:r>
              <w:rPr>
                <w:rFonts w:ascii="宋体" w:hAnsi="宋体"/>
                <w:color w:val="auto"/>
                <w:sz w:val="21"/>
                <w:szCs w:val="21"/>
                <w:highlight w:val="none"/>
                <w:lang w:val="zh-CN"/>
              </w:rPr>
            </w:r>
            <w:r/>
          </w:p>
        </w:tc>
        <w:tc>
          <w:tcPr>
            <w:tcW w:w="881" w:type="dxa"/>
            <w:vAlign w:val="center"/>
            <w:textDirection w:val="lrTb"/>
            <w:noWrap w:val="false"/>
          </w:tcPr>
          <w:p>
            <w:pPr>
              <w:ind w:firstLine="422"/>
              <w:jc w:val="center"/>
              <w:rPr>
                <w:rFonts w:ascii="宋体" w:hAnsi="宋体"/>
                <w:color w:val="auto"/>
                <w:sz w:val="21"/>
                <w:szCs w:val="21"/>
                <w:highlight w:val="none"/>
                <w:lang w:val="zh-CN"/>
              </w:rPr>
            </w:pPr>
            <w:r>
              <w:rPr>
                <w:rFonts w:ascii="宋体" w:hAnsi="宋体"/>
                <w:color w:val="auto"/>
                <w:sz w:val="21"/>
                <w:szCs w:val="21"/>
                <w:highlight w:val="none"/>
                <w:lang w:val="zh-CN"/>
              </w:rPr>
            </w:r>
            <w:r/>
          </w:p>
        </w:tc>
        <w:tc>
          <w:tcPr>
            <w:tcW w:w="1013" w:type="dxa"/>
            <w:vAlign w:val="center"/>
            <w:textDirection w:val="lrTb"/>
            <w:noWrap w:val="false"/>
          </w:tcPr>
          <w:p>
            <w:pPr>
              <w:ind w:firstLine="422"/>
              <w:jc w:val="center"/>
              <w:rPr>
                <w:rFonts w:ascii="宋体" w:hAnsi="宋体"/>
                <w:color w:val="auto"/>
                <w:sz w:val="21"/>
                <w:szCs w:val="21"/>
                <w:highlight w:val="none"/>
                <w:lang w:val="zh-CN"/>
              </w:rPr>
            </w:pPr>
            <w:r>
              <w:rPr>
                <w:rFonts w:ascii="宋体" w:hAnsi="宋体"/>
                <w:color w:val="auto"/>
                <w:sz w:val="21"/>
                <w:szCs w:val="21"/>
                <w:highlight w:val="none"/>
                <w:lang w:val="zh-CN"/>
              </w:rPr>
            </w:r>
            <w:r/>
          </w:p>
        </w:tc>
        <w:tc>
          <w:tcPr>
            <w:tcW w:w="1438" w:type="dxa"/>
            <w:vAlign w:val="center"/>
            <w:textDirection w:val="lrTb"/>
            <w:noWrap w:val="false"/>
          </w:tcPr>
          <w:p>
            <w:pPr>
              <w:ind w:firstLine="422"/>
              <w:jc w:val="center"/>
              <w:rPr>
                <w:rFonts w:ascii="宋体" w:hAnsi="宋体"/>
                <w:color w:val="auto"/>
                <w:sz w:val="21"/>
                <w:szCs w:val="21"/>
                <w:highlight w:val="none"/>
              </w:rPr>
            </w:pPr>
            <w:r>
              <w:rPr>
                <w:rFonts w:ascii="宋体" w:hAnsi="宋体"/>
                <w:color w:val="auto"/>
                <w:sz w:val="21"/>
                <w:szCs w:val="21"/>
                <w:highlight w:val="none"/>
              </w:rPr>
            </w:r>
            <w:r/>
          </w:p>
        </w:tc>
      </w:tr>
      <w:tr>
        <w:trPr>
          <w:jc w:val="center"/>
          <w:trHeight w:val="20"/>
        </w:trPr>
        <w:tc>
          <w:tcPr>
            <w:tcW w:w="638" w:type="dxa"/>
            <w:vAlign w:val="center"/>
            <w:textDirection w:val="lrTb"/>
            <w:noWrap w:val="false"/>
          </w:tcPr>
          <w:p>
            <w:pPr>
              <w:ind w:firstLine="422"/>
              <w:jc w:val="center"/>
              <w:rPr>
                <w:rFonts w:ascii="宋体" w:hAnsi="宋体"/>
                <w:color w:val="auto"/>
                <w:sz w:val="21"/>
                <w:szCs w:val="21"/>
                <w:highlight w:val="none"/>
                <w:lang w:val="zh-CN"/>
              </w:rPr>
            </w:pPr>
            <w:r>
              <w:rPr>
                <w:rFonts w:ascii="宋体" w:hAnsi="宋体"/>
                <w:color w:val="auto"/>
                <w:sz w:val="21"/>
                <w:szCs w:val="21"/>
                <w:highlight w:val="none"/>
                <w:lang w:val="zh-CN"/>
              </w:rPr>
            </w:r>
            <w:r/>
          </w:p>
        </w:tc>
        <w:tc>
          <w:tcPr>
            <w:tcW w:w="1316" w:type="dxa"/>
            <w:vAlign w:val="center"/>
            <w:textDirection w:val="lrTb"/>
            <w:noWrap w:val="false"/>
          </w:tcPr>
          <w:p>
            <w:pPr>
              <w:ind w:firstLine="422"/>
              <w:jc w:val="center"/>
              <w:rPr>
                <w:rFonts w:ascii="宋体" w:hAnsi="宋体"/>
                <w:color w:val="auto"/>
                <w:sz w:val="21"/>
                <w:szCs w:val="21"/>
                <w:highlight w:val="none"/>
                <w:lang w:val="zh-CN"/>
              </w:rPr>
            </w:pPr>
            <w:r>
              <w:rPr>
                <w:rFonts w:ascii="宋体" w:hAnsi="宋体"/>
                <w:color w:val="auto"/>
                <w:sz w:val="21"/>
                <w:szCs w:val="21"/>
                <w:highlight w:val="none"/>
                <w:lang w:val="zh-CN"/>
              </w:rPr>
            </w:r>
            <w:r/>
          </w:p>
        </w:tc>
        <w:tc>
          <w:tcPr>
            <w:tcW w:w="1298" w:type="dxa"/>
            <w:vAlign w:val="center"/>
            <w:textDirection w:val="lrTb"/>
            <w:noWrap w:val="false"/>
          </w:tcPr>
          <w:p>
            <w:pPr>
              <w:ind w:firstLine="422"/>
              <w:jc w:val="center"/>
              <w:rPr>
                <w:rFonts w:ascii="宋体" w:hAnsi="宋体"/>
                <w:color w:val="auto"/>
                <w:sz w:val="21"/>
                <w:szCs w:val="21"/>
                <w:highlight w:val="none"/>
                <w:lang w:val="zh-CN"/>
              </w:rPr>
            </w:pPr>
            <w:r>
              <w:rPr>
                <w:rFonts w:ascii="宋体" w:hAnsi="宋体"/>
                <w:color w:val="auto"/>
                <w:sz w:val="21"/>
                <w:szCs w:val="21"/>
                <w:highlight w:val="none"/>
                <w:lang w:val="zh-CN"/>
              </w:rPr>
            </w:r>
            <w:r/>
          </w:p>
        </w:tc>
        <w:tc>
          <w:tcPr>
            <w:tcW w:w="1359" w:type="dxa"/>
            <w:vAlign w:val="center"/>
            <w:textDirection w:val="lrTb"/>
            <w:noWrap w:val="false"/>
          </w:tcPr>
          <w:p>
            <w:pPr>
              <w:ind w:firstLine="422"/>
              <w:jc w:val="center"/>
              <w:rPr>
                <w:rFonts w:ascii="宋体" w:hAnsi="宋体"/>
                <w:color w:val="auto"/>
                <w:sz w:val="21"/>
                <w:szCs w:val="21"/>
                <w:highlight w:val="none"/>
              </w:rPr>
            </w:pPr>
            <w:r>
              <w:rPr>
                <w:rFonts w:ascii="宋体" w:hAnsi="宋体"/>
                <w:color w:val="auto"/>
                <w:sz w:val="21"/>
                <w:szCs w:val="21"/>
                <w:highlight w:val="none"/>
              </w:rPr>
            </w:r>
            <w:r/>
          </w:p>
        </w:tc>
        <w:tc>
          <w:tcPr>
            <w:tcW w:w="741" w:type="dxa"/>
            <w:vAlign w:val="center"/>
            <w:textDirection w:val="lrTb"/>
            <w:noWrap w:val="false"/>
          </w:tcPr>
          <w:p>
            <w:pPr>
              <w:ind w:firstLine="422"/>
              <w:jc w:val="center"/>
              <w:rPr>
                <w:rFonts w:ascii="宋体" w:hAnsi="宋体"/>
                <w:color w:val="auto"/>
                <w:sz w:val="21"/>
                <w:szCs w:val="21"/>
                <w:highlight w:val="none"/>
                <w:lang w:val="zh-CN"/>
              </w:rPr>
            </w:pPr>
            <w:r>
              <w:rPr>
                <w:rFonts w:ascii="宋体" w:hAnsi="宋体"/>
                <w:color w:val="auto"/>
                <w:sz w:val="21"/>
                <w:szCs w:val="21"/>
                <w:highlight w:val="none"/>
                <w:lang w:val="zh-CN"/>
              </w:rPr>
            </w:r>
            <w:r/>
          </w:p>
        </w:tc>
        <w:tc>
          <w:tcPr>
            <w:tcW w:w="778" w:type="dxa"/>
            <w:vAlign w:val="center"/>
            <w:textDirection w:val="lrTb"/>
            <w:noWrap w:val="false"/>
          </w:tcPr>
          <w:p>
            <w:pPr>
              <w:ind w:firstLine="422"/>
              <w:jc w:val="center"/>
              <w:rPr>
                <w:rFonts w:ascii="宋体" w:hAnsi="宋体"/>
                <w:color w:val="auto"/>
                <w:sz w:val="21"/>
                <w:szCs w:val="21"/>
                <w:highlight w:val="none"/>
                <w:lang w:val="zh-CN"/>
              </w:rPr>
            </w:pPr>
            <w:r>
              <w:rPr>
                <w:rFonts w:ascii="宋体" w:hAnsi="宋体"/>
                <w:color w:val="auto"/>
                <w:sz w:val="21"/>
                <w:szCs w:val="21"/>
                <w:highlight w:val="none"/>
                <w:lang w:val="zh-CN"/>
              </w:rPr>
            </w:r>
            <w:r/>
          </w:p>
        </w:tc>
        <w:tc>
          <w:tcPr>
            <w:tcW w:w="881" w:type="dxa"/>
            <w:vAlign w:val="center"/>
            <w:textDirection w:val="lrTb"/>
            <w:noWrap w:val="false"/>
          </w:tcPr>
          <w:p>
            <w:pPr>
              <w:ind w:firstLine="422"/>
              <w:jc w:val="center"/>
              <w:rPr>
                <w:rFonts w:ascii="宋体" w:hAnsi="宋体"/>
                <w:color w:val="auto"/>
                <w:sz w:val="21"/>
                <w:szCs w:val="21"/>
                <w:highlight w:val="none"/>
                <w:lang w:val="zh-CN"/>
              </w:rPr>
            </w:pPr>
            <w:r>
              <w:rPr>
                <w:rFonts w:ascii="宋体" w:hAnsi="宋体"/>
                <w:color w:val="auto"/>
                <w:sz w:val="21"/>
                <w:szCs w:val="21"/>
                <w:highlight w:val="none"/>
                <w:lang w:val="zh-CN"/>
              </w:rPr>
            </w:r>
            <w:r/>
          </w:p>
        </w:tc>
        <w:tc>
          <w:tcPr>
            <w:tcW w:w="1013" w:type="dxa"/>
            <w:vAlign w:val="center"/>
            <w:textDirection w:val="lrTb"/>
            <w:noWrap w:val="false"/>
          </w:tcPr>
          <w:p>
            <w:pPr>
              <w:ind w:firstLine="422"/>
              <w:jc w:val="center"/>
              <w:rPr>
                <w:rFonts w:ascii="宋体" w:hAnsi="宋体"/>
                <w:color w:val="auto"/>
                <w:sz w:val="21"/>
                <w:szCs w:val="21"/>
                <w:highlight w:val="none"/>
                <w:lang w:val="zh-CN"/>
              </w:rPr>
            </w:pPr>
            <w:r>
              <w:rPr>
                <w:rFonts w:ascii="宋体" w:hAnsi="宋体"/>
                <w:color w:val="auto"/>
                <w:sz w:val="21"/>
                <w:szCs w:val="21"/>
                <w:highlight w:val="none"/>
                <w:lang w:val="zh-CN"/>
              </w:rPr>
            </w:r>
            <w:r/>
          </w:p>
        </w:tc>
        <w:tc>
          <w:tcPr>
            <w:tcW w:w="1438" w:type="dxa"/>
            <w:vAlign w:val="center"/>
            <w:textDirection w:val="lrTb"/>
            <w:noWrap w:val="false"/>
          </w:tcPr>
          <w:p>
            <w:pPr>
              <w:ind w:firstLine="422"/>
              <w:jc w:val="center"/>
              <w:rPr>
                <w:rFonts w:ascii="宋体" w:hAnsi="宋体"/>
                <w:color w:val="auto"/>
                <w:sz w:val="21"/>
                <w:szCs w:val="21"/>
                <w:highlight w:val="none"/>
              </w:rPr>
            </w:pPr>
            <w:r>
              <w:rPr>
                <w:rFonts w:ascii="宋体" w:hAnsi="宋体"/>
                <w:color w:val="auto"/>
                <w:sz w:val="21"/>
                <w:szCs w:val="21"/>
                <w:highlight w:val="none"/>
              </w:rPr>
            </w:r>
            <w:r/>
          </w:p>
        </w:tc>
      </w:tr>
      <w:tr>
        <w:trPr>
          <w:jc w:val="center"/>
          <w:trHeight w:val="20"/>
        </w:trPr>
        <w:tc>
          <w:tcPr>
            <w:tcW w:w="638" w:type="dxa"/>
            <w:vAlign w:val="center"/>
            <w:textDirection w:val="lrTb"/>
            <w:noWrap w:val="false"/>
          </w:tcPr>
          <w:p>
            <w:pPr>
              <w:ind w:firstLine="422"/>
              <w:jc w:val="center"/>
              <w:rPr>
                <w:rFonts w:ascii="宋体" w:hAnsi="宋体"/>
                <w:color w:val="auto"/>
                <w:sz w:val="21"/>
                <w:szCs w:val="21"/>
                <w:highlight w:val="none"/>
                <w:lang w:val="zh-CN"/>
              </w:rPr>
            </w:pPr>
            <w:r>
              <w:rPr>
                <w:rFonts w:ascii="宋体" w:hAnsi="宋体"/>
                <w:color w:val="auto"/>
                <w:sz w:val="21"/>
                <w:szCs w:val="21"/>
                <w:highlight w:val="none"/>
                <w:lang w:val="zh-CN"/>
              </w:rPr>
            </w:r>
            <w:r/>
          </w:p>
        </w:tc>
        <w:tc>
          <w:tcPr>
            <w:tcW w:w="1316" w:type="dxa"/>
            <w:vAlign w:val="center"/>
            <w:textDirection w:val="lrTb"/>
            <w:noWrap w:val="false"/>
          </w:tcPr>
          <w:p>
            <w:pPr>
              <w:ind w:firstLine="422"/>
              <w:jc w:val="center"/>
              <w:rPr>
                <w:rFonts w:ascii="宋体" w:hAnsi="宋体"/>
                <w:color w:val="auto"/>
                <w:sz w:val="21"/>
                <w:szCs w:val="21"/>
                <w:highlight w:val="none"/>
                <w:lang w:val="zh-CN"/>
              </w:rPr>
            </w:pPr>
            <w:r>
              <w:rPr>
                <w:rFonts w:ascii="宋体" w:hAnsi="宋体"/>
                <w:color w:val="auto"/>
                <w:sz w:val="21"/>
                <w:szCs w:val="21"/>
                <w:highlight w:val="none"/>
                <w:lang w:val="zh-CN"/>
              </w:rPr>
            </w:r>
            <w:r/>
          </w:p>
        </w:tc>
        <w:tc>
          <w:tcPr>
            <w:tcW w:w="1298" w:type="dxa"/>
            <w:vAlign w:val="center"/>
            <w:textDirection w:val="lrTb"/>
            <w:noWrap w:val="false"/>
          </w:tcPr>
          <w:p>
            <w:pPr>
              <w:ind w:firstLine="422"/>
              <w:jc w:val="center"/>
              <w:rPr>
                <w:rFonts w:ascii="宋体" w:hAnsi="宋体"/>
                <w:color w:val="auto"/>
                <w:sz w:val="21"/>
                <w:szCs w:val="21"/>
                <w:highlight w:val="none"/>
                <w:lang w:val="zh-CN"/>
              </w:rPr>
            </w:pPr>
            <w:r>
              <w:rPr>
                <w:rFonts w:ascii="宋体" w:hAnsi="宋体"/>
                <w:color w:val="auto"/>
                <w:sz w:val="21"/>
                <w:szCs w:val="21"/>
                <w:highlight w:val="none"/>
                <w:lang w:val="zh-CN"/>
              </w:rPr>
            </w:r>
            <w:r/>
          </w:p>
        </w:tc>
        <w:tc>
          <w:tcPr>
            <w:tcW w:w="1359" w:type="dxa"/>
            <w:vAlign w:val="center"/>
            <w:textDirection w:val="lrTb"/>
            <w:noWrap w:val="false"/>
          </w:tcPr>
          <w:p>
            <w:pPr>
              <w:ind w:firstLine="422"/>
              <w:jc w:val="center"/>
              <w:rPr>
                <w:rFonts w:ascii="宋体" w:hAnsi="宋体"/>
                <w:color w:val="auto"/>
                <w:sz w:val="21"/>
                <w:szCs w:val="21"/>
                <w:highlight w:val="none"/>
              </w:rPr>
            </w:pPr>
            <w:r>
              <w:rPr>
                <w:rFonts w:ascii="宋体" w:hAnsi="宋体"/>
                <w:color w:val="auto"/>
                <w:sz w:val="21"/>
                <w:szCs w:val="21"/>
                <w:highlight w:val="none"/>
              </w:rPr>
            </w:r>
            <w:r/>
          </w:p>
        </w:tc>
        <w:tc>
          <w:tcPr>
            <w:tcW w:w="741" w:type="dxa"/>
            <w:vAlign w:val="center"/>
            <w:textDirection w:val="lrTb"/>
            <w:noWrap w:val="false"/>
          </w:tcPr>
          <w:p>
            <w:pPr>
              <w:ind w:firstLine="422"/>
              <w:jc w:val="center"/>
              <w:rPr>
                <w:rFonts w:ascii="宋体" w:hAnsi="宋体"/>
                <w:color w:val="auto"/>
                <w:sz w:val="21"/>
                <w:szCs w:val="21"/>
                <w:highlight w:val="none"/>
                <w:lang w:val="zh-CN"/>
              </w:rPr>
            </w:pPr>
            <w:r>
              <w:rPr>
                <w:rFonts w:ascii="宋体" w:hAnsi="宋体"/>
                <w:color w:val="auto"/>
                <w:sz w:val="21"/>
                <w:szCs w:val="21"/>
                <w:highlight w:val="none"/>
                <w:lang w:val="zh-CN"/>
              </w:rPr>
            </w:r>
            <w:r/>
          </w:p>
        </w:tc>
        <w:tc>
          <w:tcPr>
            <w:tcW w:w="778" w:type="dxa"/>
            <w:vAlign w:val="center"/>
            <w:textDirection w:val="lrTb"/>
            <w:noWrap w:val="false"/>
          </w:tcPr>
          <w:p>
            <w:pPr>
              <w:ind w:firstLine="422"/>
              <w:jc w:val="center"/>
              <w:rPr>
                <w:rFonts w:ascii="宋体" w:hAnsi="宋体"/>
                <w:color w:val="auto"/>
                <w:sz w:val="21"/>
                <w:szCs w:val="21"/>
                <w:highlight w:val="none"/>
                <w:lang w:val="zh-CN"/>
              </w:rPr>
            </w:pPr>
            <w:r>
              <w:rPr>
                <w:rFonts w:ascii="宋体" w:hAnsi="宋体"/>
                <w:color w:val="auto"/>
                <w:sz w:val="21"/>
                <w:szCs w:val="21"/>
                <w:highlight w:val="none"/>
                <w:lang w:val="zh-CN"/>
              </w:rPr>
            </w:r>
            <w:r/>
          </w:p>
        </w:tc>
        <w:tc>
          <w:tcPr>
            <w:tcW w:w="881" w:type="dxa"/>
            <w:vAlign w:val="center"/>
            <w:textDirection w:val="lrTb"/>
            <w:noWrap w:val="false"/>
          </w:tcPr>
          <w:p>
            <w:pPr>
              <w:ind w:firstLine="422"/>
              <w:jc w:val="center"/>
              <w:rPr>
                <w:rFonts w:ascii="宋体" w:hAnsi="宋体"/>
                <w:color w:val="auto"/>
                <w:sz w:val="21"/>
                <w:szCs w:val="21"/>
                <w:highlight w:val="none"/>
                <w:lang w:val="zh-CN"/>
              </w:rPr>
            </w:pPr>
            <w:r>
              <w:rPr>
                <w:rFonts w:ascii="宋体" w:hAnsi="宋体"/>
                <w:color w:val="auto"/>
                <w:sz w:val="21"/>
                <w:szCs w:val="21"/>
                <w:highlight w:val="none"/>
                <w:lang w:val="zh-CN"/>
              </w:rPr>
            </w:r>
            <w:r/>
          </w:p>
        </w:tc>
        <w:tc>
          <w:tcPr>
            <w:tcW w:w="1013" w:type="dxa"/>
            <w:vAlign w:val="center"/>
            <w:textDirection w:val="lrTb"/>
            <w:noWrap w:val="false"/>
          </w:tcPr>
          <w:p>
            <w:pPr>
              <w:ind w:firstLine="422"/>
              <w:jc w:val="center"/>
              <w:rPr>
                <w:rFonts w:ascii="宋体" w:hAnsi="宋体"/>
                <w:color w:val="auto"/>
                <w:sz w:val="21"/>
                <w:szCs w:val="21"/>
                <w:highlight w:val="none"/>
                <w:lang w:val="zh-CN"/>
              </w:rPr>
            </w:pPr>
            <w:r>
              <w:rPr>
                <w:rFonts w:ascii="宋体" w:hAnsi="宋体"/>
                <w:color w:val="auto"/>
                <w:sz w:val="21"/>
                <w:szCs w:val="21"/>
                <w:highlight w:val="none"/>
                <w:lang w:val="zh-CN"/>
              </w:rPr>
            </w:r>
            <w:r/>
          </w:p>
        </w:tc>
        <w:tc>
          <w:tcPr>
            <w:tcW w:w="1438" w:type="dxa"/>
            <w:vAlign w:val="center"/>
            <w:textDirection w:val="lrTb"/>
            <w:noWrap w:val="false"/>
          </w:tcPr>
          <w:p>
            <w:pPr>
              <w:ind w:firstLine="422"/>
              <w:jc w:val="center"/>
              <w:rPr>
                <w:rFonts w:ascii="宋体" w:hAnsi="宋体"/>
                <w:color w:val="auto"/>
                <w:sz w:val="21"/>
                <w:szCs w:val="21"/>
                <w:highlight w:val="none"/>
              </w:rPr>
            </w:pPr>
            <w:r>
              <w:rPr>
                <w:rFonts w:ascii="宋体" w:hAnsi="宋体"/>
                <w:color w:val="auto"/>
                <w:sz w:val="21"/>
                <w:szCs w:val="21"/>
                <w:highlight w:val="none"/>
              </w:rPr>
            </w:r>
            <w:r/>
          </w:p>
        </w:tc>
      </w:tr>
      <w:tr>
        <w:trPr>
          <w:jc w:val="center"/>
          <w:trHeight w:val="20"/>
        </w:trPr>
        <w:tc>
          <w:tcPr>
            <w:tcW w:w="638" w:type="dxa"/>
            <w:vAlign w:val="center"/>
            <w:textDirection w:val="lrTb"/>
            <w:noWrap w:val="false"/>
          </w:tcPr>
          <w:p>
            <w:pPr>
              <w:ind w:firstLine="422"/>
              <w:jc w:val="center"/>
              <w:rPr>
                <w:rFonts w:ascii="宋体" w:hAnsi="宋体"/>
                <w:color w:val="auto"/>
                <w:sz w:val="21"/>
                <w:szCs w:val="21"/>
                <w:highlight w:val="none"/>
                <w:lang w:val="zh-CN"/>
              </w:rPr>
            </w:pPr>
            <w:r>
              <w:rPr>
                <w:rFonts w:ascii="宋体" w:hAnsi="宋体"/>
                <w:color w:val="auto"/>
                <w:sz w:val="21"/>
                <w:szCs w:val="21"/>
                <w:highlight w:val="none"/>
                <w:lang w:val="zh-CN"/>
              </w:rPr>
            </w:r>
            <w:r/>
          </w:p>
        </w:tc>
        <w:tc>
          <w:tcPr>
            <w:tcW w:w="1316" w:type="dxa"/>
            <w:vAlign w:val="center"/>
            <w:textDirection w:val="lrTb"/>
            <w:noWrap w:val="false"/>
          </w:tcPr>
          <w:p>
            <w:pPr>
              <w:ind w:firstLine="422"/>
              <w:jc w:val="center"/>
              <w:rPr>
                <w:rFonts w:ascii="宋体" w:hAnsi="宋体"/>
                <w:color w:val="auto"/>
                <w:sz w:val="21"/>
                <w:szCs w:val="21"/>
                <w:highlight w:val="none"/>
                <w:lang w:val="zh-CN"/>
              </w:rPr>
            </w:pPr>
            <w:r>
              <w:rPr>
                <w:rFonts w:ascii="宋体" w:hAnsi="宋体"/>
                <w:color w:val="auto"/>
                <w:sz w:val="21"/>
                <w:szCs w:val="21"/>
                <w:highlight w:val="none"/>
                <w:lang w:val="zh-CN"/>
              </w:rPr>
            </w:r>
            <w:r/>
          </w:p>
        </w:tc>
        <w:tc>
          <w:tcPr>
            <w:tcW w:w="1298" w:type="dxa"/>
            <w:vAlign w:val="center"/>
            <w:textDirection w:val="lrTb"/>
            <w:noWrap w:val="false"/>
          </w:tcPr>
          <w:p>
            <w:pPr>
              <w:ind w:firstLine="422"/>
              <w:jc w:val="center"/>
              <w:rPr>
                <w:rFonts w:ascii="宋体" w:hAnsi="宋体"/>
                <w:color w:val="auto"/>
                <w:sz w:val="21"/>
                <w:szCs w:val="21"/>
                <w:highlight w:val="none"/>
                <w:lang w:val="zh-CN"/>
              </w:rPr>
            </w:pPr>
            <w:r>
              <w:rPr>
                <w:rFonts w:ascii="宋体" w:hAnsi="宋体"/>
                <w:color w:val="auto"/>
                <w:sz w:val="21"/>
                <w:szCs w:val="21"/>
                <w:highlight w:val="none"/>
                <w:lang w:val="zh-CN"/>
              </w:rPr>
            </w:r>
            <w:r/>
          </w:p>
        </w:tc>
        <w:tc>
          <w:tcPr>
            <w:tcW w:w="1359" w:type="dxa"/>
            <w:vAlign w:val="center"/>
            <w:textDirection w:val="lrTb"/>
            <w:noWrap w:val="false"/>
          </w:tcPr>
          <w:p>
            <w:pPr>
              <w:ind w:firstLine="422"/>
              <w:jc w:val="center"/>
              <w:rPr>
                <w:rFonts w:ascii="宋体" w:hAnsi="宋体"/>
                <w:color w:val="auto"/>
                <w:sz w:val="21"/>
                <w:szCs w:val="21"/>
                <w:highlight w:val="none"/>
              </w:rPr>
            </w:pPr>
            <w:r>
              <w:rPr>
                <w:rFonts w:ascii="宋体" w:hAnsi="宋体"/>
                <w:color w:val="auto"/>
                <w:sz w:val="21"/>
                <w:szCs w:val="21"/>
                <w:highlight w:val="none"/>
              </w:rPr>
            </w:r>
            <w:r/>
          </w:p>
        </w:tc>
        <w:tc>
          <w:tcPr>
            <w:tcW w:w="741" w:type="dxa"/>
            <w:vAlign w:val="center"/>
            <w:textDirection w:val="lrTb"/>
            <w:noWrap w:val="false"/>
          </w:tcPr>
          <w:p>
            <w:pPr>
              <w:ind w:firstLine="422"/>
              <w:jc w:val="center"/>
              <w:rPr>
                <w:rFonts w:ascii="宋体" w:hAnsi="宋体"/>
                <w:color w:val="auto"/>
                <w:sz w:val="21"/>
                <w:szCs w:val="21"/>
                <w:highlight w:val="none"/>
                <w:lang w:val="zh-CN"/>
              </w:rPr>
            </w:pPr>
            <w:r>
              <w:rPr>
                <w:rFonts w:ascii="宋体" w:hAnsi="宋体"/>
                <w:color w:val="auto"/>
                <w:sz w:val="21"/>
                <w:szCs w:val="21"/>
                <w:highlight w:val="none"/>
                <w:lang w:val="zh-CN"/>
              </w:rPr>
            </w:r>
            <w:r/>
          </w:p>
        </w:tc>
        <w:tc>
          <w:tcPr>
            <w:tcW w:w="778" w:type="dxa"/>
            <w:vAlign w:val="center"/>
            <w:textDirection w:val="lrTb"/>
            <w:noWrap w:val="false"/>
          </w:tcPr>
          <w:p>
            <w:pPr>
              <w:ind w:firstLine="422"/>
              <w:jc w:val="center"/>
              <w:rPr>
                <w:rFonts w:ascii="宋体" w:hAnsi="宋体"/>
                <w:color w:val="auto"/>
                <w:sz w:val="21"/>
                <w:szCs w:val="21"/>
                <w:highlight w:val="none"/>
                <w:lang w:val="zh-CN"/>
              </w:rPr>
            </w:pPr>
            <w:r>
              <w:rPr>
                <w:rFonts w:ascii="宋体" w:hAnsi="宋体"/>
                <w:color w:val="auto"/>
                <w:sz w:val="21"/>
                <w:szCs w:val="21"/>
                <w:highlight w:val="none"/>
                <w:lang w:val="zh-CN"/>
              </w:rPr>
            </w:r>
            <w:r/>
          </w:p>
        </w:tc>
        <w:tc>
          <w:tcPr>
            <w:tcW w:w="881" w:type="dxa"/>
            <w:vAlign w:val="center"/>
            <w:textDirection w:val="lrTb"/>
            <w:noWrap w:val="false"/>
          </w:tcPr>
          <w:p>
            <w:pPr>
              <w:ind w:firstLine="422"/>
              <w:jc w:val="center"/>
              <w:rPr>
                <w:rFonts w:ascii="宋体" w:hAnsi="宋体"/>
                <w:color w:val="auto"/>
                <w:sz w:val="21"/>
                <w:szCs w:val="21"/>
                <w:highlight w:val="none"/>
                <w:lang w:val="zh-CN"/>
              </w:rPr>
            </w:pPr>
            <w:r>
              <w:rPr>
                <w:rFonts w:ascii="宋体" w:hAnsi="宋体"/>
                <w:color w:val="auto"/>
                <w:sz w:val="21"/>
                <w:szCs w:val="21"/>
                <w:highlight w:val="none"/>
                <w:lang w:val="zh-CN"/>
              </w:rPr>
            </w:r>
            <w:r/>
          </w:p>
        </w:tc>
        <w:tc>
          <w:tcPr>
            <w:tcW w:w="1013" w:type="dxa"/>
            <w:vAlign w:val="center"/>
            <w:textDirection w:val="lrTb"/>
            <w:noWrap w:val="false"/>
          </w:tcPr>
          <w:p>
            <w:pPr>
              <w:ind w:firstLine="422"/>
              <w:jc w:val="center"/>
              <w:rPr>
                <w:rFonts w:ascii="宋体" w:hAnsi="宋体"/>
                <w:color w:val="auto"/>
                <w:sz w:val="21"/>
                <w:szCs w:val="21"/>
                <w:highlight w:val="none"/>
                <w:lang w:val="zh-CN"/>
              </w:rPr>
            </w:pPr>
            <w:r>
              <w:rPr>
                <w:rFonts w:ascii="宋体" w:hAnsi="宋体"/>
                <w:color w:val="auto"/>
                <w:sz w:val="21"/>
                <w:szCs w:val="21"/>
                <w:highlight w:val="none"/>
                <w:lang w:val="zh-CN"/>
              </w:rPr>
            </w:r>
            <w:r/>
          </w:p>
        </w:tc>
        <w:tc>
          <w:tcPr>
            <w:tcW w:w="1438" w:type="dxa"/>
            <w:vAlign w:val="center"/>
            <w:textDirection w:val="lrTb"/>
            <w:noWrap w:val="false"/>
          </w:tcPr>
          <w:p>
            <w:pPr>
              <w:ind w:firstLine="422"/>
              <w:jc w:val="center"/>
              <w:rPr>
                <w:rFonts w:ascii="宋体" w:hAnsi="宋体"/>
                <w:color w:val="auto"/>
                <w:sz w:val="21"/>
                <w:szCs w:val="21"/>
                <w:highlight w:val="none"/>
              </w:rPr>
            </w:pPr>
            <w:r>
              <w:rPr>
                <w:rFonts w:ascii="宋体" w:hAnsi="宋体"/>
                <w:color w:val="auto"/>
                <w:sz w:val="21"/>
                <w:szCs w:val="21"/>
                <w:highlight w:val="none"/>
              </w:rPr>
            </w:r>
            <w:r/>
          </w:p>
        </w:tc>
      </w:tr>
      <w:tr>
        <w:trPr>
          <w:jc w:val="center"/>
          <w:trHeight w:val="20"/>
        </w:trPr>
        <w:tc>
          <w:tcPr>
            <w:tcW w:w="638" w:type="dxa"/>
            <w:vAlign w:val="center"/>
            <w:textDirection w:val="lrTb"/>
            <w:noWrap w:val="false"/>
          </w:tcPr>
          <w:p>
            <w:pPr>
              <w:ind w:firstLine="422"/>
              <w:jc w:val="center"/>
              <w:rPr>
                <w:rFonts w:ascii="宋体" w:hAnsi="宋体"/>
                <w:color w:val="auto"/>
                <w:sz w:val="21"/>
                <w:szCs w:val="21"/>
                <w:highlight w:val="none"/>
                <w:lang w:val="zh-CN"/>
              </w:rPr>
            </w:pPr>
            <w:r>
              <w:rPr>
                <w:rFonts w:ascii="宋体" w:hAnsi="宋体"/>
                <w:color w:val="auto"/>
                <w:sz w:val="21"/>
                <w:szCs w:val="21"/>
                <w:highlight w:val="none"/>
                <w:lang w:val="zh-CN"/>
              </w:rPr>
            </w:r>
            <w:r/>
          </w:p>
        </w:tc>
        <w:tc>
          <w:tcPr>
            <w:tcW w:w="1316" w:type="dxa"/>
            <w:vAlign w:val="center"/>
            <w:textDirection w:val="lrTb"/>
            <w:noWrap w:val="false"/>
          </w:tcPr>
          <w:p>
            <w:pPr>
              <w:ind w:firstLine="422"/>
              <w:jc w:val="center"/>
              <w:rPr>
                <w:rFonts w:ascii="宋体" w:hAnsi="宋体"/>
                <w:color w:val="auto"/>
                <w:sz w:val="21"/>
                <w:szCs w:val="21"/>
                <w:highlight w:val="none"/>
                <w:lang w:val="zh-CN"/>
              </w:rPr>
            </w:pPr>
            <w:r>
              <w:rPr>
                <w:rFonts w:ascii="宋体" w:hAnsi="宋体"/>
                <w:color w:val="auto"/>
                <w:sz w:val="21"/>
                <w:szCs w:val="21"/>
                <w:highlight w:val="none"/>
                <w:lang w:val="zh-CN"/>
              </w:rPr>
            </w:r>
            <w:r/>
          </w:p>
        </w:tc>
        <w:tc>
          <w:tcPr>
            <w:tcW w:w="1298" w:type="dxa"/>
            <w:vAlign w:val="center"/>
            <w:textDirection w:val="lrTb"/>
            <w:noWrap w:val="false"/>
          </w:tcPr>
          <w:p>
            <w:pPr>
              <w:ind w:firstLine="422"/>
              <w:jc w:val="center"/>
              <w:rPr>
                <w:rFonts w:ascii="宋体" w:hAnsi="宋体"/>
                <w:color w:val="auto"/>
                <w:sz w:val="21"/>
                <w:szCs w:val="21"/>
                <w:highlight w:val="none"/>
                <w:lang w:val="zh-CN"/>
              </w:rPr>
            </w:pPr>
            <w:r>
              <w:rPr>
                <w:rFonts w:ascii="宋体" w:hAnsi="宋体"/>
                <w:color w:val="auto"/>
                <w:sz w:val="21"/>
                <w:szCs w:val="21"/>
                <w:highlight w:val="none"/>
                <w:lang w:val="zh-CN"/>
              </w:rPr>
            </w:r>
            <w:r/>
          </w:p>
        </w:tc>
        <w:tc>
          <w:tcPr>
            <w:tcW w:w="1359" w:type="dxa"/>
            <w:vAlign w:val="center"/>
            <w:textDirection w:val="lrTb"/>
            <w:noWrap w:val="false"/>
          </w:tcPr>
          <w:p>
            <w:pPr>
              <w:ind w:firstLine="422"/>
              <w:jc w:val="center"/>
              <w:rPr>
                <w:rFonts w:ascii="宋体" w:hAnsi="宋体"/>
                <w:color w:val="auto"/>
                <w:sz w:val="21"/>
                <w:szCs w:val="21"/>
                <w:highlight w:val="none"/>
              </w:rPr>
            </w:pPr>
            <w:r>
              <w:rPr>
                <w:rFonts w:ascii="宋体" w:hAnsi="宋体"/>
                <w:color w:val="auto"/>
                <w:sz w:val="21"/>
                <w:szCs w:val="21"/>
                <w:highlight w:val="none"/>
              </w:rPr>
            </w:r>
            <w:r/>
          </w:p>
        </w:tc>
        <w:tc>
          <w:tcPr>
            <w:tcW w:w="741" w:type="dxa"/>
            <w:vAlign w:val="center"/>
            <w:textDirection w:val="lrTb"/>
            <w:noWrap w:val="false"/>
          </w:tcPr>
          <w:p>
            <w:pPr>
              <w:ind w:firstLine="422"/>
              <w:jc w:val="center"/>
              <w:rPr>
                <w:rFonts w:ascii="宋体" w:hAnsi="宋体"/>
                <w:color w:val="auto"/>
                <w:sz w:val="21"/>
                <w:szCs w:val="21"/>
                <w:highlight w:val="none"/>
                <w:lang w:val="zh-CN"/>
              </w:rPr>
            </w:pPr>
            <w:r>
              <w:rPr>
                <w:rFonts w:ascii="宋体" w:hAnsi="宋体"/>
                <w:color w:val="auto"/>
                <w:sz w:val="21"/>
                <w:szCs w:val="21"/>
                <w:highlight w:val="none"/>
                <w:lang w:val="zh-CN"/>
              </w:rPr>
            </w:r>
            <w:r/>
          </w:p>
        </w:tc>
        <w:tc>
          <w:tcPr>
            <w:tcW w:w="778" w:type="dxa"/>
            <w:vAlign w:val="center"/>
            <w:textDirection w:val="lrTb"/>
            <w:noWrap w:val="false"/>
          </w:tcPr>
          <w:p>
            <w:pPr>
              <w:ind w:firstLine="422"/>
              <w:jc w:val="center"/>
              <w:rPr>
                <w:rFonts w:ascii="宋体" w:hAnsi="宋体"/>
                <w:color w:val="auto"/>
                <w:sz w:val="21"/>
                <w:szCs w:val="21"/>
                <w:highlight w:val="none"/>
                <w:lang w:val="zh-CN"/>
              </w:rPr>
            </w:pPr>
            <w:r>
              <w:rPr>
                <w:rFonts w:ascii="宋体" w:hAnsi="宋体"/>
                <w:color w:val="auto"/>
                <w:sz w:val="21"/>
                <w:szCs w:val="21"/>
                <w:highlight w:val="none"/>
                <w:lang w:val="zh-CN"/>
              </w:rPr>
            </w:r>
            <w:r/>
          </w:p>
        </w:tc>
        <w:tc>
          <w:tcPr>
            <w:tcW w:w="881" w:type="dxa"/>
            <w:vAlign w:val="center"/>
            <w:textDirection w:val="lrTb"/>
            <w:noWrap w:val="false"/>
          </w:tcPr>
          <w:p>
            <w:pPr>
              <w:ind w:firstLine="422"/>
              <w:jc w:val="center"/>
              <w:rPr>
                <w:rFonts w:ascii="宋体" w:hAnsi="宋体"/>
                <w:color w:val="auto"/>
                <w:sz w:val="21"/>
                <w:szCs w:val="21"/>
                <w:highlight w:val="none"/>
                <w:lang w:val="zh-CN"/>
              </w:rPr>
            </w:pPr>
            <w:r>
              <w:rPr>
                <w:rFonts w:ascii="宋体" w:hAnsi="宋体"/>
                <w:color w:val="auto"/>
                <w:sz w:val="21"/>
                <w:szCs w:val="21"/>
                <w:highlight w:val="none"/>
                <w:lang w:val="zh-CN"/>
              </w:rPr>
            </w:r>
            <w:r/>
          </w:p>
        </w:tc>
        <w:tc>
          <w:tcPr>
            <w:tcW w:w="1013" w:type="dxa"/>
            <w:vAlign w:val="center"/>
            <w:textDirection w:val="lrTb"/>
            <w:noWrap w:val="false"/>
          </w:tcPr>
          <w:p>
            <w:pPr>
              <w:ind w:firstLine="422"/>
              <w:jc w:val="center"/>
              <w:rPr>
                <w:rFonts w:ascii="宋体" w:hAnsi="宋体"/>
                <w:color w:val="auto"/>
                <w:sz w:val="21"/>
                <w:szCs w:val="21"/>
                <w:highlight w:val="none"/>
                <w:lang w:val="zh-CN"/>
              </w:rPr>
            </w:pPr>
            <w:r>
              <w:rPr>
                <w:rFonts w:ascii="宋体" w:hAnsi="宋体"/>
                <w:color w:val="auto"/>
                <w:sz w:val="21"/>
                <w:szCs w:val="21"/>
                <w:highlight w:val="none"/>
                <w:lang w:val="zh-CN"/>
              </w:rPr>
            </w:r>
            <w:r/>
          </w:p>
        </w:tc>
        <w:tc>
          <w:tcPr>
            <w:tcW w:w="1438" w:type="dxa"/>
            <w:vAlign w:val="center"/>
            <w:textDirection w:val="lrTb"/>
            <w:noWrap w:val="false"/>
          </w:tcPr>
          <w:p>
            <w:pPr>
              <w:ind w:firstLine="422"/>
              <w:jc w:val="center"/>
              <w:rPr>
                <w:rFonts w:ascii="宋体" w:hAnsi="宋体"/>
                <w:color w:val="auto"/>
                <w:sz w:val="21"/>
                <w:szCs w:val="21"/>
                <w:highlight w:val="none"/>
              </w:rPr>
            </w:pPr>
            <w:r>
              <w:rPr>
                <w:rFonts w:ascii="宋体" w:hAnsi="宋体"/>
                <w:color w:val="auto"/>
                <w:sz w:val="21"/>
                <w:szCs w:val="21"/>
                <w:highlight w:val="none"/>
              </w:rPr>
            </w:r>
            <w:r/>
          </w:p>
        </w:tc>
      </w:tr>
      <w:tr>
        <w:trPr>
          <w:jc w:val="center"/>
          <w:trHeight w:val="20"/>
        </w:trPr>
        <w:tc>
          <w:tcPr>
            <w:tcW w:w="638" w:type="dxa"/>
            <w:vAlign w:val="center"/>
            <w:textDirection w:val="lrTb"/>
            <w:noWrap w:val="false"/>
          </w:tcPr>
          <w:p>
            <w:pPr>
              <w:ind w:firstLine="422"/>
              <w:jc w:val="center"/>
              <w:rPr>
                <w:rFonts w:ascii="宋体" w:hAnsi="宋体"/>
                <w:color w:val="auto"/>
                <w:sz w:val="21"/>
                <w:szCs w:val="21"/>
                <w:highlight w:val="none"/>
                <w:lang w:val="zh-CN"/>
              </w:rPr>
            </w:pPr>
            <w:r>
              <w:rPr>
                <w:rFonts w:ascii="宋体" w:hAnsi="宋体"/>
                <w:color w:val="auto"/>
                <w:sz w:val="21"/>
                <w:szCs w:val="21"/>
                <w:highlight w:val="none"/>
                <w:lang w:val="zh-CN"/>
              </w:rPr>
            </w:r>
            <w:r/>
          </w:p>
        </w:tc>
        <w:tc>
          <w:tcPr>
            <w:tcW w:w="1316" w:type="dxa"/>
            <w:vAlign w:val="center"/>
            <w:textDirection w:val="lrTb"/>
            <w:noWrap w:val="false"/>
          </w:tcPr>
          <w:p>
            <w:pPr>
              <w:ind w:firstLine="422"/>
              <w:jc w:val="center"/>
              <w:rPr>
                <w:rFonts w:ascii="宋体" w:hAnsi="宋体"/>
                <w:color w:val="auto"/>
                <w:sz w:val="21"/>
                <w:szCs w:val="21"/>
                <w:highlight w:val="none"/>
                <w:lang w:val="zh-CN"/>
              </w:rPr>
            </w:pPr>
            <w:r>
              <w:rPr>
                <w:rFonts w:ascii="宋体" w:hAnsi="宋体"/>
                <w:color w:val="auto"/>
                <w:sz w:val="21"/>
                <w:szCs w:val="21"/>
                <w:highlight w:val="none"/>
                <w:lang w:val="zh-CN"/>
              </w:rPr>
            </w:r>
            <w:r/>
          </w:p>
        </w:tc>
        <w:tc>
          <w:tcPr>
            <w:tcW w:w="1298" w:type="dxa"/>
            <w:vAlign w:val="center"/>
            <w:textDirection w:val="lrTb"/>
            <w:noWrap w:val="false"/>
          </w:tcPr>
          <w:p>
            <w:pPr>
              <w:ind w:firstLine="422"/>
              <w:jc w:val="center"/>
              <w:rPr>
                <w:rFonts w:ascii="宋体" w:hAnsi="宋体"/>
                <w:color w:val="auto"/>
                <w:sz w:val="21"/>
                <w:szCs w:val="21"/>
                <w:highlight w:val="none"/>
                <w:lang w:val="zh-CN"/>
              </w:rPr>
            </w:pPr>
            <w:r>
              <w:rPr>
                <w:rFonts w:ascii="宋体" w:hAnsi="宋体"/>
                <w:color w:val="auto"/>
                <w:sz w:val="21"/>
                <w:szCs w:val="21"/>
                <w:highlight w:val="none"/>
                <w:lang w:val="zh-CN"/>
              </w:rPr>
            </w:r>
            <w:r/>
          </w:p>
        </w:tc>
        <w:tc>
          <w:tcPr>
            <w:tcW w:w="1359" w:type="dxa"/>
            <w:vAlign w:val="center"/>
            <w:textDirection w:val="lrTb"/>
            <w:noWrap w:val="false"/>
          </w:tcPr>
          <w:p>
            <w:pPr>
              <w:ind w:firstLine="422"/>
              <w:jc w:val="center"/>
              <w:rPr>
                <w:rFonts w:ascii="宋体" w:hAnsi="宋体"/>
                <w:color w:val="auto"/>
                <w:sz w:val="21"/>
                <w:szCs w:val="21"/>
                <w:highlight w:val="none"/>
              </w:rPr>
            </w:pPr>
            <w:r>
              <w:rPr>
                <w:rFonts w:ascii="宋体" w:hAnsi="宋体"/>
                <w:color w:val="auto"/>
                <w:sz w:val="21"/>
                <w:szCs w:val="21"/>
                <w:highlight w:val="none"/>
              </w:rPr>
            </w:r>
            <w:r/>
          </w:p>
        </w:tc>
        <w:tc>
          <w:tcPr>
            <w:tcW w:w="741" w:type="dxa"/>
            <w:vAlign w:val="center"/>
            <w:textDirection w:val="lrTb"/>
            <w:noWrap w:val="false"/>
          </w:tcPr>
          <w:p>
            <w:pPr>
              <w:ind w:firstLine="422"/>
              <w:jc w:val="center"/>
              <w:rPr>
                <w:rFonts w:ascii="宋体" w:hAnsi="宋体"/>
                <w:color w:val="auto"/>
                <w:sz w:val="21"/>
                <w:szCs w:val="21"/>
                <w:highlight w:val="none"/>
                <w:lang w:val="zh-CN"/>
              </w:rPr>
            </w:pPr>
            <w:r>
              <w:rPr>
                <w:rFonts w:ascii="宋体" w:hAnsi="宋体"/>
                <w:color w:val="auto"/>
                <w:sz w:val="21"/>
                <w:szCs w:val="21"/>
                <w:highlight w:val="none"/>
                <w:lang w:val="zh-CN"/>
              </w:rPr>
            </w:r>
            <w:r/>
          </w:p>
        </w:tc>
        <w:tc>
          <w:tcPr>
            <w:tcW w:w="778" w:type="dxa"/>
            <w:vAlign w:val="center"/>
            <w:textDirection w:val="lrTb"/>
            <w:noWrap w:val="false"/>
          </w:tcPr>
          <w:p>
            <w:pPr>
              <w:ind w:firstLine="422"/>
              <w:jc w:val="center"/>
              <w:rPr>
                <w:rFonts w:ascii="宋体" w:hAnsi="宋体"/>
                <w:color w:val="auto"/>
                <w:sz w:val="21"/>
                <w:szCs w:val="21"/>
                <w:highlight w:val="none"/>
                <w:lang w:val="zh-CN"/>
              </w:rPr>
            </w:pPr>
            <w:r>
              <w:rPr>
                <w:rFonts w:ascii="宋体" w:hAnsi="宋体"/>
                <w:color w:val="auto"/>
                <w:sz w:val="21"/>
                <w:szCs w:val="21"/>
                <w:highlight w:val="none"/>
                <w:lang w:val="zh-CN"/>
              </w:rPr>
            </w:r>
            <w:r/>
          </w:p>
        </w:tc>
        <w:tc>
          <w:tcPr>
            <w:tcW w:w="881" w:type="dxa"/>
            <w:vAlign w:val="center"/>
            <w:textDirection w:val="lrTb"/>
            <w:noWrap w:val="false"/>
          </w:tcPr>
          <w:p>
            <w:pPr>
              <w:ind w:firstLine="422"/>
              <w:jc w:val="center"/>
              <w:rPr>
                <w:rFonts w:ascii="宋体" w:hAnsi="宋体"/>
                <w:color w:val="auto"/>
                <w:sz w:val="21"/>
                <w:szCs w:val="21"/>
                <w:highlight w:val="none"/>
                <w:lang w:val="zh-CN"/>
              </w:rPr>
            </w:pPr>
            <w:r>
              <w:rPr>
                <w:rFonts w:ascii="宋体" w:hAnsi="宋体"/>
                <w:color w:val="auto"/>
                <w:sz w:val="21"/>
                <w:szCs w:val="21"/>
                <w:highlight w:val="none"/>
                <w:lang w:val="zh-CN"/>
              </w:rPr>
            </w:r>
            <w:r/>
          </w:p>
        </w:tc>
        <w:tc>
          <w:tcPr>
            <w:tcW w:w="1013" w:type="dxa"/>
            <w:vAlign w:val="center"/>
            <w:textDirection w:val="lrTb"/>
            <w:noWrap w:val="false"/>
          </w:tcPr>
          <w:p>
            <w:pPr>
              <w:ind w:firstLine="422"/>
              <w:jc w:val="center"/>
              <w:rPr>
                <w:rFonts w:ascii="宋体" w:hAnsi="宋体"/>
                <w:color w:val="auto"/>
                <w:sz w:val="21"/>
                <w:szCs w:val="21"/>
                <w:highlight w:val="none"/>
                <w:lang w:val="zh-CN"/>
              </w:rPr>
            </w:pPr>
            <w:r>
              <w:rPr>
                <w:rFonts w:ascii="宋体" w:hAnsi="宋体"/>
                <w:color w:val="auto"/>
                <w:sz w:val="21"/>
                <w:szCs w:val="21"/>
                <w:highlight w:val="none"/>
                <w:lang w:val="zh-CN"/>
              </w:rPr>
            </w:r>
            <w:r/>
          </w:p>
        </w:tc>
        <w:tc>
          <w:tcPr>
            <w:tcW w:w="1438" w:type="dxa"/>
            <w:vAlign w:val="center"/>
            <w:textDirection w:val="lrTb"/>
            <w:noWrap w:val="false"/>
          </w:tcPr>
          <w:p>
            <w:pPr>
              <w:ind w:firstLine="422"/>
              <w:jc w:val="center"/>
              <w:rPr>
                <w:rFonts w:ascii="宋体" w:hAnsi="宋体"/>
                <w:color w:val="auto"/>
                <w:sz w:val="21"/>
                <w:szCs w:val="21"/>
                <w:highlight w:val="none"/>
              </w:rPr>
            </w:pPr>
            <w:r>
              <w:rPr>
                <w:rFonts w:ascii="宋体" w:hAnsi="宋体"/>
                <w:color w:val="auto"/>
                <w:sz w:val="21"/>
                <w:szCs w:val="21"/>
                <w:highlight w:val="none"/>
              </w:rPr>
            </w:r>
            <w:r/>
          </w:p>
        </w:tc>
      </w:tr>
      <w:tr>
        <w:trPr>
          <w:jc w:val="center"/>
          <w:trHeight w:val="20"/>
        </w:trPr>
        <w:tc>
          <w:tcPr>
            <w:tcW w:w="638" w:type="dxa"/>
            <w:vAlign w:val="center"/>
            <w:textDirection w:val="lrTb"/>
            <w:noWrap w:val="false"/>
          </w:tcPr>
          <w:p>
            <w:pPr>
              <w:ind w:firstLine="422"/>
              <w:jc w:val="center"/>
              <w:rPr>
                <w:rFonts w:ascii="宋体" w:hAnsi="宋体"/>
                <w:color w:val="auto"/>
                <w:sz w:val="21"/>
                <w:szCs w:val="21"/>
                <w:highlight w:val="none"/>
                <w:lang w:val="zh-CN"/>
              </w:rPr>
            </w:pPr>
            <w:r>
              <w:rPr>
                <w:rFonts w:ascii="宋体" w:hAnsi="宋体"/>
                <w:color w:val="auto"/>
                <w:sz w:val="21"/>
                <w:szCs w:val="21"/>
                <w:highlight w:val="none"/>
                <w:lang w:val="zh-CN"/>
              </w:rPr>
            </w:r>
            <w:r/>
          </w:p>
        </w:tc>
        <w:tc>
          <w:tcPr>
            <w:tcW w:w="1316" w:type="dxa"/>
            <w:vAlign w:val="center"/>
            <w:textDirection w:val="lrTb"/>
            <w:noWrap w:val="false"/>
          </w:tcPr>
          <w:p>
            <w:pPr>
              <w:ind w:firstLine="422"/>
              <w:jc w:val="center"/>
              <w:rPr>
                <w:rFonts w:ascii="宋体" w:hAnsi="宋体"/>
                <w:color w:val="auto"/>
                <w:sz w:val="21"/>
                <w:szCs w:val="21"/>
                <w:highlight w:val="none"/>
                <w:lang w:val="zh-CN"/>
              </w:rPr>
            </w:pPr>
            <w:r>
              <w:rPr>
                <w:rFonts w:ascii="宋体" w:hAnsi="宋体"/>
                <w:color w:val="auto"/>
                <w:sz w:val="21"/>
                <w:szCs w:val="21"/>
                <w:highlight w:val="none"/>
                <w:lang w:val="zh-CN"/>
              </w:rPr>
            </w:r>
            <w:r/>
          </w:p>
        </w:tc>
        <w:tc>
          <w:tcPr>
            <w:tcW w:w="1298" w:type="dxa"/>
            <w:vAlign w:val="center"/>
            <w:textDirection w:val="lrTb"/>
            <w:noWrap w:val="false"/>
          </w:tcPr>
          <w:p>
            <w:pPr>
              <w:ind w:firstLine="422"/>
              <w:jc w:val="center"/>
              <w:rPr>
                <w:rFonts w:ascii="宋体" w:hAnsi="宋体"/>
                <w:color w:val="auto"/>
                <w:sz w:val="21"/>
                <w:szCs w:val="21"/>
                <w:highlight w:val="none"/>
                <w:lang w:val="zh-CN"/>
              </w:rPr>
            </w:pPr>
            <w:r>
              <w:rPr>
                <w:rFonts w:ascii="宋体" w:hAnsi="宋体"/>
                <w:color w:val="auto"/>
                <w:sz w:val="21"/>
                <w:szCs w:val="21"/>
                <w:highlight w:val="none"/>
                <w:lang w:val="zh-CN"/>
              </w:rPr>
            </w:r>
            <w:r/>
          </w:p>
        </w:tc>
        <w:tc>
          <w:tcPr>
            <w:tcW w:w="1359" w:type="dxa"/>
            <w:vAlign w:val="center"/>
            <w:textDirection w:val="lrTb"/>
            <w:noWrap w:val="false"/>
          </w:tcPr>
          <w:p>
            <w:pPr>
              <w:ind w:firstLine="422"/>
              <w:jc w:val="center"/>
              <w:rPr>
                <w:rFonts w:ascii="宋体" w:hAnsi="宋体"/>
                <w:color w:val="auto"/>
                <w:sz w:val="21"/>
                <w:szCs w:val="21"/>
                <w:highlight w:val="none"/>
              </w:rPr>
            </w:pPr>
            <w:r>
              <w:rPr>
                <w:rFonts w:ascii="宋体" w:hAnsi="宋体"/>
                <w:color w:val="auto"/>
                <w:sz w:val="21"/>
                <w:szCs w:val="21"/>
                <w:highlight w:val="none"/>
              </w:rPr>
            </w:r>
            <w:r/>
          </w:p>
        </w:tc>
        <w:tc>
          <w:tcPr>
            <w:tcW w:w="741" w:type="dxa"/>
            <w:vAlign w:val="center"/>
            <w:textDirection w:val="lrTb"/>
            <w:noWrap w:val="false"/>
          </w:tcPr>
          <w:p>
            <w:pPr>
              <w:ind w:firstLine="422"/>
              <w:jc w:val="center"/>
              <w:rPr>
                <w:rFonts w:ascii="宋体" w:hAnsi="宋体"/>
                <w:color w:val="auto"/>
                <w:sz w:val="21"/>
                <w:szCs w:val="21"/>
                <w:highlight w:val="none"/>
                <w:lang w:val="zh-CN"/>
              </w:rPr>
            </w:pPr>
            <w:r>
              <w:rPr>
                <w:rFonts w:ascii="宋体" w:hAnsi="宋体"/>
                <w:color w:val="auto"/>
                <w:sz w:val="21"/>
                <w:szCs w:val="21"/>
                <w:highlight w:val="none"/>
                <w:lang w:val="zh-CN"/>
              </w:rPr>
            </w:r>
            <w:r/>
          </w:p>
        </w:tc>
        <w:tc>
          <w:tcPr>
            <w:tcW w:w="778" w:type="dxa"/>
            <w:vAlign w:val="center"/>
            <w:textDirection w:val="lrTb"/>
            <w:noWrap w:val="false"/>
          </w:tcPr>
          <w:p>
            <w:pPr>
              <w:ind w:firstLine="422"/>
              <w:jc w:val="center"/>
              <w:rPr>
                <w:rFonts w:ascii="宋体" w:hAnsi="宋体"/>
                <w:color w:val="auto"/>
                <w:sz w:val="21"/>
                <w:szCs w:val="21"/>
                <w:highlight w:val="none"/>
                <w:lang w:val="zh-CN"/>
              </w:rPr>
            </w:pPr>
            <w:r>
              <w:rPr>
                <w:rFonts w:ascii="宋体" w:hAnsi="宋体"/>
                <w:color w:val="auto"/>
                <w:sz w:val="21"/>
                <w:szCs w:val="21"/>
                <w:highlight w:val="none"/>
                <w:lang w:val="zh-CN"/>
              </w:rPr>
            </w:r>
            <w:r/>
          </w:p>
        </w:tc>
        <w:tc>
          <w:tcPr>
            <w:tcW w:w="881" w:type="dxa"/>
            <w:vAlign w:val="center"/>
            <w:textDirection w:val="lrTb"/>
            <w:noWrap w:val="false"/>
          </w:tcPr>
          <w:p>
            <w:pPr>
              <w:ind w:firstLine="422"/>
              <w:jc w:val="center"/>
              <w:rPr>
                <w:rFonts w:ascii="宋体" w:hAnsi="宋体"/>
                <w:color w:val="auto"/>
                <w:sz w:val="21"/>
                <w:szCs w:val="21"/>
                <w:highlight w:val="none"/>
                <w:lang w:val="zh-CN"/>
              </w:rPr>
            </w:pPr>
            <w:r>
              <w:rPr>
                <w:rFonts w:ascii="宋体" w:hAnsi="宋体"/>
                <w:color w:val="auto"/>
                <w:sz w:val="21"/>
                <w:szCs w:val="21"/>
                <w:highlight w:val="none"/>
                <w:lang w:val="zh-CN"/>
              </w:rPr>
            </w:r>
            <w:r/>
          </w:p>
        </w:tc>
        <w:tc>
          <w:tcPr>
            <w:tcW w:w="1013" w:type="dxa"/>
            <w:vAlign w:val="center"/>
            <w:textDirection w:val="lrTb"/>
            <w:noWrap w:val="false"/>
          </w:tcPr>
          <w:p>
            <w:pPr>
              <w:ind w:firstLine="422"/>
              <w:jc w:val="center"/>
              <w:rPr>
                <w:rFonts w:ascii="宋体" w:hAnsi="宋体"/>
                <w:color w:val="auto"/>
                <w:sz w:val="21"/>
                <w:szCs w:val="21"/>
                <w:highlight w:val="none"/>
                <w:lang w:val="zh-CN"/>
              </w:rPr>
            </w:pPr>
            <w:r>
              <w:rPr>
                <w:rFonts w:ascii="宋体" w:hAnsi="宋体"/>
                <w:color w:val="auto"/>
                <w:sz w:val="21"/>
                <w:szCs w:val="21"/>
                <w:highlight w:val="none"/>
                <w:lang w:val="zh-CN"/>
              </w:rPr>
            </w:r>
            <w:r/>
          </w:p>
        </w:tc>
        <w:tc>
          <w:tcPr>
            <w:tcW w:w="1438" w:type="dxa"/>
            <w:vAlign w:val="center"/>
            <w:textDirection w:val="lrTb"/>
            <w:noWrap w:val="false"/>
          </w:tcPr>
          <w:p>
            <w:pPr>
              <w:ind w:firstLine="422"/>
              <w:jc w:val="center"/>
              <w:rPr>
                <w:rFonts w:ascii="宋体" w:hAnsi="宋体"/>
                <w:color w:val="auto"/>
                <w:sz w:val="21"/>
                <w:szCs w:val="21"/>
                <w:highlight w:val="none"/>
              </w:rPr>
            </w:pPr>
            <w:r>
              <w:rPr>
                <w:rFonts w:ascii="宋体" w:hAnsi="宋体"/>
                <w:color w:val="auto"/>
                <w:sz w:val="21"/>
                <w:szCs w:val="21"/>
                <w:highlight w:val="none"/>
              </w:rPr>
            </w:r>
            <w:r/>
          </w:p>
        </w:tc>
      </w:tr>
      <w:tr>
        <w:trPr>
          <w:jc w:val="center"/>
          <w:trHeight w:val="20"/>
        </w:trPr>
        <w:tc>
          <w:tcPr>
            <w:tcW w:w="638" w:type="dxa"/>
            <w:vAlign w:val="center"/>
            <w:textDirection w:val="lrTb"/>
            <w:noWrap w:val="false"/>
          </w:tcPr>
          <w:p>
            <w:pPr>
              <w:ind w:firstLine="422"/>
              <w:jc w:val="center"/>
              <w:rPr>
                <w:rFonts w:ascii="宋体" w:hAnsi="宋体"/>
                <w:color w:val="auto"/>
                <w:sz w:val="21"/>
                <w:szCs w:val="21"/>
                <w:highlight w:val="none"/>
                <w:lang w:val="zh-CN"/>
              </w:rPr>
            </w:pPr>
            <w:r>
              <w:rPr>
                <w:rFonts w:ascii="宋体" w:hAnsi="宋体"/>
                <w:color w:val="auto"/>
                <w:sz w:val="21"/>
                <w:szCs w:val="21"/>
                <w:highlight w:val="none"/>
                <w:lang w:val="zh-CN"/>
              </w:rPr>
            </w:r>
            <w:r/>
          </w:p>
        </w:tc>
        <w:tc>
          <w:tcPr>
            <w:tcW w:w="1316" w:type="dxa"/>
            <w:vAlign w:val="center"/>
            <w:textDirection w:val="lrTb"/>
            <w:noWrap w:val="false"/>
          </w:tcPr>
          <w:p>
            <w:pPr>
              <w:ind w:firstLine="422"/>
              <w:jc w:val="center"/>
              <w:rPr>
                <w:rFonts w:ascii="宋体" w:hAnsi="宋体"/>
                <w:color w:val="auto"/>
                <w:sz w:val="21"/>
                <w:szCs w:val="21"/>
                <w:highlight w:val="none"/>
                <w:lang w:val="zh-CN"/>
              </w:rPr>
            </w:pPr>
            <w:r>
              <w:rPr>
                <w:rFonts w:ascii="宋体" w:hAnsi="宋体"/>
                <w:color w:val="auto"/>
                <w:sz w:val="21"/>
                <w:szCs w:val="21"/>
                <w:highlight w:val="none"/>
                <w:lang w:val="zh-CN"/>
              </w:rPr>
            </w:r>
            <w:r/>
          </w:p>
        </w:tc>
        <w:tc>
          <w:tcPr>
            <w:tcW w:w="1298" w:type="dxa"/>
            <w:vAlign w:val="center"/>
            <w:textDirection w:val="lrTb"/>
            <w:noWrap w:val="false"/>
          </w:tcPr>
          <w:p>
            <w:pPr>
              <w:ind w:firstLine="422"/>
              <w:jc w:val="center"/>
              <w:rPr>
                <w:rFonts w:ascii="宋体" w:hAnsi="宋体"/>
                <w:color w:val="auto"/>
                <w:sz w:val="21"/>
                <w:szCs w:val="21"/>
                <w:highlight w:val="none"/>
                <w:lang w:val="zh-CN"/>
              </w:rPr>
            </w:pPr>
            <w:r>
              <w:rPr>
                <w:rFonts w:ascii="宋体" w:hAnsi="宋体"/>
                <w:color w:val="auto"/>
                <w:sz w:val="21"/>
                <w:szCs w:val="21"/>
                <w:highlight w:val="none"/>
                <w:lang w:val="zh-CN"/>
              </w:rPr>
            </w:r>
            <w:r/>
          </w:p>
        </w:tc>
        <w:tc>
          <w:tcPr>
            <w:tcW w:w="1359" w:type="dxa"/>
            <w:vAlign w:val="center"/>
            <w:textDirection w:val="lrTb"/>
            <w:noWrap w:val="false"/>
          </w:tcPr>
          <w:p>
            <w:pPr>
              <w:ind w:firstLine="422"/>
              <w:jc w:val="center"/>
              <w:rPr>
                <w:rFonts w:ascii="宋体" w:hAnsi="宋体"/>
                <w:color w:val="auto"/>
                <w:sz w:val="21"/>
                <w:szCs w:val="21"/>
                <w:highlight w:val="none"/>
              </w:rPr>
            </w:pPr>
            <w:r>
              <w:rPr>
                <w:rFonts w:ascii="宋体" w:hAnsi="宋体"/>
                <w:color w:val="auto"/>
                <w:sz w:val="21"/>
                <w:szCs w:val="21"/>
                <w:highlight w:val="none"/>
              </w:rPr>
            </w:r>
            <w:r/>
          </w:p>
        </w:tc>
        <w:tc>
          <w:tcPr>
            <w:tcW w:w="741" w:type="dxa"/>
            <w:vAlign w:val="center"/>
            <w:textDirection w:val="lrTb"/>
            <w:noWrap w:val="false"/>
          </w:tcPr>
          <w:p>
            <w:pPr>
              <w:ind w:firstLine="422"/>
              <w:jc w:val="center"/>
              <w:rPr>
                <w:rFonts w:ascii="宋体" w:hAnsi="宋体"/>
                <w:color w:val="auto"/>
                <w:sz w:val="21"/>
                <w:szCs w:val="21"/>
                <w:highlight w:val="none"/>
                <w:lang w:val="zh-CN"/>
              </w:rPr>
            </w:pPr>
            <w:r>
              <w:rPr>
                <w:rFonts w:ascii="宋体" w:hAnsi="宋体"/>
                <w:color w:val="auto"/>
                <w:sz w:val="21"/>
                <w:szCs w:val="21"/>
                <w:highlight w:val="none"/>
                <w:lang w:val="zh-CN"/>
              </w:rPr>
            </w:r>
            <w:r/>
          </w:p>
        </w:tc>
        <w:tc>
          <w:tcPr>
            <w:tcW w:w="778" w:type="dxa"/>
            <w:vAlign w:val="center"/>
            <w:textDirection w:val="lrTb"/>
            <w:noWrap w:val="false"/>
          </w:tcPr>
          <w:p>
            <w:pPr>
              <w:ind w:firstLine="422"/>
              <w:jc w:val="center"/>
              <w:rPr>
                <w:rFonts w:ascii="宋体" w:hAnsi="宋体"/>
                <w:color w:val="auto"/>
                <w:sz w:val="21"/>
                <w:szCs w:val="21"/>
                <w:highlight w:val="none"/>
                <w:lang w:val="zh-CN"/>
              </w:rPr>
            </w:pPr>
            <w:r>
              <w:rPr>
                <w:rFonts w:ascii="宋体" w:hAnsi="宋体"/>
                <w:color w:val="auto"/>
                <w:sz w:val="21"/>
                <w:szCs w:val="21"/>
                <w:highlight w:val="none"/>
                <w:lang w:val="zh-CN"/>
              </w:rPr>
            </w:r>
            <w:r/>
          </w:p>
        </w:tc>
        <w:tc>
          <w:tcPr>
            <w:tcW w:w="881" w:type="dxa"/>
            <w:vAlign w:val="center"/>
            <w:textDirection w:val="lrTb"/>
            <w:noWrap w:val="false"/>
          </w:tcPr>
          <w:p>
            <w:pPr>
              <w:ind w:firstLine="422"/>
              <w:jc w:val="center"/>
              <w:rPr>
                <w:rFonts w:ascii="宋体" w:hAnsi="宋体"/>
                <w:color w:val="auto"/>
                <w:sz w:val="21"/>
                <w:szCs w:val="21"/>
                <w:highlight w:val="none"/>
                <w:lang w:val="zh-CN"/>
              </w:rPr>
            </w:pPr>
            <w:r>
              <w:rPr>
                <w:rFonts w:ascii="宋体" w:hAnsi="宋体"/>
                <w:color w:val="auto"/>
                <w:sz w:val="21"/>
                <w:szCs w:val="21"/>
                <w:highlight w:val="none"/>
                <w:lang w:val="zh-CN"/>
              </w:rPr>
            </w:r>
            <w:r/>
          </w:p>
        </w:tc>
        <w:tc>
          <w:tcPr>
            <w:tcW w:w="1013" w:type="dxa"/>
            <w:vAlign w:val="center"/>
            <w:textDirection w:val="lrTb"/>
            <w:noWrap w:val="false"/>
          </w:tcPr>
          <w:p>
            <w:pPr>
              <w:ind w:firstLine="422"/>
              <w:jc w:val="center"/>
              <w:rPr>
                <w:rFonts w:ascii="宋体" w:hAnsi="宋体"/>
                <w:color w:val="auto"/>
                <w:sz w:val="21"/>
                <w:szCs w:val="21"/>
                <w:highlight w:val="none"/>
                <w:lang w:val="zh-CN"/>
              </w:rPr>
            </w:pPr>
            <w:r>
              <w:rPr>
                <w:rFonts w:ascii="宋体" w:hAnsi="宋体"/>
                <w:color w:val="auto"/>
                <w:sz w:val="21"/>
                <w:szCs w:val="21"/>
                <w:highlight w:val="none"/>
                <w:lang w:val="zh-CN"/>
              </w:rPr>
            </w:r>
            <w:r/>
          </w:p>
        </w:tc>
        <w:tc>
          <w:tcPr>
            <w:tcW w:w="1438" w:type="dxa"/>
            <w:vAlign w:val="center"/>
            <w:textDirection w:val="lrTb"/>
            <w:noWrap w:val="false"/>
          </w:tcPr>
          <w:p>
            <w:pPr>
              <w:ind w:firstLine="422"/>
              <w:jc w:val="center"/>
              <w:rPr>
                <w:rFonts w:ascii="宋体" w:hAnsi="宋体"/>
                <w:color w:val="auto"/>
                <w:sz w:val="21"/>
                <w:szCs w:val="21"/>
                <w:highlight w:val="none"/>
              </w:rPr>
            </w:pPr>
            <w:r>
              <w:rPr>
                <w:rFonts w:ascii="宋体" w:hAnsi="宋体"/>
                <w:color w:val="auto"/>
                <w:sz w:val="21"/>
                <w:szCs w:val="21"/>
                <w:highlight w:val="none"/>
              </w:rPr>
            </w:r>
            <w:r/>
          </w:p>
        </w:tc>
      </w:tr>
      <w:tr>
        <w:trPr>
          <w:jc w:val="center"/>
          <w:trHeight w:val="20"/>
        </w:trPr>
        <w:tc>
          <w:tcPr>
            <w:tcW w:w="638" w:type="dxa"/>
            <w:vAlign w:val="center"/>
            <w:textDirection w:val="lrTb"/>
            <w:noWrap w:val="false"/>
          </w:tcPr>
          <w:p>
            <w:pPr>
              <w:ind w:firstLine="422"/>
              <w:jc w:val="center"/>
              <w:rPr>
                <w:rFonts w:ascii="宋体" w:hAnsi="宋体"/>
                <w:color w:val="auto"/>
                <w:sz w:val="21"/>
                <w:szCs w:val="21"/>
                <w:highlight w:val="none"/>
                <w:lang w:val="zh-CN"/>
              </w:rPr>
            </w:pPr>
            <w:r>
              <w:rPr>
                <w:rFonts w:ascii="宋体" w:hAnsi="宋体"/>
                <w:color w:val="auto"/>
                <w:sz w:val="21"/>
                <w:szCs w:val="21"/>
                <w:highlight w:val="none"/>
                <w:lang w:val="zh-CN"/>
              </w:rPr>
            </w:r>
            <w:r/>
          </w:p>
        </w:tc>
        <w:tc>
          <w:tcPr>
            <w:tcW w:w="1316" w:type="dxa"/>
            <w:vAlign w:val="center"/>
            <w:textDirection w:val="lrTb"/>
            <w:noWrap w:val="false"/>
          </w:tcPr>
          <w:p>
            <w:pPr>
              <w:ind w:firstLine="422"/>
              <w:jc w:val="center"/>
              <w:rPr>
                <w:rFonts w:ascii="宋体" w:hAnsi="宋体"/>
                <w:color w:val="auto"/>
                <w:sz w:val="21"/>
                <w:szCs w:val="21"/>
                <w:highlight w:val="none"/>
                <w:lang w:val="zh-CN"/>
              </w:rPr>
            </w:pPr>
            <w:r>
              <w:rPr>
                <w:rFonts w:ascii="宋体" w:hAnsi="宋体"/>
                <w:color w:val="auto"/>
                <w:sz w:val="21"/>
                <w:szCs w:val="21"/>
                <w:highlight w:val="none"/>
                <w:lang w:val="zh-CN"/>
              </w:rPr>
            </w:r>
            <w:r/>
          </w:p>
        </w:tc>
        <w:tc>
          <w:tcPr>
            <w:tcW w:w="1298" w:type="dxa"/>
            <w:vAlign w:val="center"/>
            <w:textDirection w:val="lrTb"/>
            <w:noWrap w:val="false"/>
          </w:tcPr>
          <w:p>
            <w:pPr>
              <w:ind w:firstLine="422"/>
              <w:jc w:val="center"/>
              <w:rPr>
                <w:rFonts w:ascii="宋体" w:hAnsi="宋体"/>
                <w:color w:val="auto"/>
                <w:sz w:val="21"/>
                <w:szCs w:val="21"/>
                <w:highlight w:val="none"/>
                <w:lang w:val="zh-CN"/>
              </w:rPr>
            </w:pPr>
            <w:r>
              <w:rPr>
                <w:rFonts w:ascii="宋体" w:hAnsi="宋体"/>
                <w:color w:val="auto"/>
                <w:sz w:val="21"/>
                <w:szCs w:val="21"/>
                <w:highlight w:val="none"/>
                <w:lang w:val="zh-CN"/>
              </w:rPr>
            </w:r>
            <w:r/>
          </w:p>
        </w:tc>
        <w:tc>
          <w:tcPr>
            <w:tcW w:w="1359" w:type="dxa"/>
            <w:vAlign w:val="center"/>
            <w:textDirection w:val="lrTb"/>
            <w:noWrap w:val="false"/>
          </w:tcPr>
          <w:p>
            <w:pPr>
              <w:ind w:firstLine="422"/>
              <w:jc w:val="center"/>
              <w:rPr>
                <w:rFonts w:ascii="宋体" w:hAnsi="宋体"/>
                <w:color w:val="auto"/>
                <w:sz w:val="21"/>
                <w:szCs w:val="21"/>
                <w:highlight w:val="none"/>
              </w:rPr>
            </w:pPr>
            <w:r>
              <w:rPr>
                <w:rFonts w:ascii="宋体" w:hAnsi="宋体"/>
                <w:color w:val="auto"/>
                <w:sz w:val="21"/>
                <w:szCs w:val="21"/>
                <w:highlight w:val="none"/>
              </w:rPr>
            </w:r>
            <w:r/>
          </w:p>
        </w:tc>
        <w:tc>
          <w:tcPr>
            <w:tcW w:w="741" w:type="dxa"/>
            <w:vAlign w:val="center"/>
            <w:textDirection w:val="lrTb"/>
            <w:noWrap w:val="false"/>
          </w:tcPr>
          <w:p>
            <w:pPr>
              <w:ind w:firstLine="422"/>
              <w:jc w:val="center"/>
              <w:rPr>
                <w:rFonts w:ascii="宋体" w:hAnsi="宋体"/>
                <w:color w:val="auto"/>
                <w:sz w:val="21"/>
                <w:szCs w:val="21"/>
                <w:highlight w:val="none"/>
                <w:lang w:val="zh-CN"/>
              </w:rPr>
            </w:pPr>
            <w:r>
              <w:rPr>
                <w:rFonts w:ascii="宋体" w:hAnsi="宋体"/>
                <w:color w:val="auto"/>
                <w:sz w:val="21"/>
                <w:szCs w:val="21"/>
                <w:highlight w:val="none"/>
                <w:lang w:val="zh-CN"/>
              </w:rPr>
            </w:r>
            <w:r/>
          </w:p>
        </w:tc>
        <w:tc>
          <w:tcPr>
            <w:tcW w:w="778" w:type="dxa"/>
            <w:vAlign w:val="center"/>
            <w:textDirection w:val="lrTb"/>
            <w:noWrap w:val="false"/>
          </w:tcPr>
          <w:p>
            <w:pPr>
              <w:ind w:firstLine="422"/>
              <w:jc w:val="center"/>
              <w:rPr>
                <w:rFonts w:ascii="宋体" w:hAnsi="宋体"/>
                <w:color w:val="auto"/>
                <w:sz w:val="21"/>
                <w:szCs w:val="21"/>
                <w:highlight w:val="none"/>
                <w:lang w:val="zh-CN"/>
              </w:rPr>
            </w:pPr>
            <w:r>
              <w:rPr>
                <w:rFonts w:ascii="宋体" w:hAnsi="宋体"/>
                <w:color w:val="auto"/>
                <w:sz w:val="21"/>
                <w:szCs w:val="21"/>
                <w:highlight w:val="none"/>
                <w:lang w:val="zh-CN"/>
              </w:rPr>
            </w:r>
            <w:r/>
          </w:p>
        </w:tc>
        <w:tc>
          <w:tcPr>
            <w:tcW w:w="881" w:type="dxa"/>
            <w:vAlign w:val="center"/>
            <w:textDirection w:val="lrTb"/>
            <w:noWrap w:val="false"/>
          </w:tcPr>
          <w:p>
            <w:pPr>
              <w:ind w:firstLine="422"/>
              <w:jc w:val="center"/>
              <w:rPr>
                <w:rFonts w:ascii="宋体" w:hAnsi="宋体"/>
                <w:color w:val="auto"/>
                <w:sz w:val="21"/>
                <w:szCs w:val="21"/>
                <w:highlight w:val="none"/>
                <w:lang w:val="zh-CN"/>
              </w:rPr>
            </w:pPr>
            <w:r>
              <w:rPr>
                <w:rFonts w:ascii="宋体" w:hAnsi="宋体"/>
                <w:color w:val="auto"/>
                <w:sz w:val="21"/>
                <w:szCs w:val="21"/>
                <w:highlight w:val="none"/>
                <w:lang w:val="zh-CN"/>
              </w:rPr>
            </w:r>
            <w:r/>
          </w:p>
        </w:tc>
        <w:tc>
          <w:tcPr>
            <w:tcW w:w="1013" w:type="dxa"/>
            <w:vAlign w:val="center"/>
            <w:textDirection w:val="lrTb"/>
            <w:noWrap w:val="false"/>
          </w:tcPr>
          <w:p>
            <w:pPr>
              <w:ind w:firstLine="422"/>
              <w:jc w:val="center"/>
              <w:rPr>
                <w:rFonts w:ascii="宋体" w:hAnsi="宋体"/>
                <w:color w:val="auto"/>
                <w:sz w:val="21"/>
                <w:szCs w:val="21"/>
                <w:highlight w:val="none"/>
                <w:lang w:val="zh-CN"/>
              </w:rPr>
            </w:pPr>
            <w:r>
              <w:rPr>
                <w:rFonts w:ascii="宋体" w:hAnsi="宋体"/>
                <w:color w:val="auto"/>
                <w:sz w:val="21"/>
                <w:szCs w:val="21"/>
                <w:highlight w:val="none"/>
                <w:lang w:val="zh-CN"/>
              </w:rPr>
            </w:r>
            <w:r/>
          </w:p>
        </w:tc>
        <w:tc>
          <w:tcPr>
            <w:tcW w:w="1438" w:type="dxa"/>
            <w:vAlign w:val="center"/>
            <w:textDirection w:val="lrTb"/>
            <w:noWrap w:val="false"/>
          </w:tcPr>
          <w:p>
            <w:pPr>
              <w:ind w:firstLine="422"/>
              <w:jc w:val="center"/>
              <w:rPr>
                <w:rFonts w:ascii="宋体" w:hAnsi="宋体"/>
                <w:color w:val="auto"/>
                <w:sz w:val="21"/>
                <w:szCs w:val="21"/>
                <w:highlight w:val="none"/>
              </w:rPr>
            </w:pPr>
            <w:r>
              <w:rPr>
                <w:rFonts w:ascii="宋体" w:hAnsi="宋体"/>
                <w:color w:val="auto"/>
                <w:sz w:val="21"/>
                <w:szCs w:val="21"/>
                <w:highlight w:val="none"/>
              </w:rPr>
            </w:r>
            <w:r/>
          </w:p>
        </w:tc>
      </w:tr>
      <w:tr>
        <w:trPr>
          <w:jc w:val="center"/>
          <w:trHeight w:val="20"/>
        </w:trPr>
        <w:tc>
          <w:tcPr>
            <w:tcW w:w="638" w:type="dxa"/>
            <w:vAlign w:val="center"/>
            <w:textDirection w:val="lrTb"/>
            <w:noWrap w:val="false"/>
          </w:tcPr>
          <w:p>
            <w:pPr>
              <w:ind w:firstLine="422"/>
              <w:jc w:val="center"/>
              <w:rPr>
                <w:rFonts w:ascii="宋体" w:hAnsi="宋体"/>
                <w:color w:val="auto"/>
                <w:sz w:val="21"/>
                <w:szCs w:val="21"/>
                <w:highlight w:val="none"/>
                <w:lang w:val="zh-CN"/>
              </w:rPr>
            </w:pPr>
            <w:r>
              <w:rPr>
                <w:rFonts w:ascii="宋体" w:hAnsi="宋体"/>
                <w:color w:val="auto"/>
                <w:sz w:val="21"/>
                <w:szCs w:val="21"/>
                <w:highlight w:val="none"/>
                <w:lang w:val="zh-CN"/>
              </w:rPr>
            </w:r>
            <w:r/>
          </w:p>
        </w:tc>
        <w:tc>
          <w:tcPr>
            <w:tcW w:w="1316" w:type="dxa"/>
            <w:vAlign w:val="center"/>
            <w:textDirection w:val="lrTb"/>
            <w:noWrap w:val="false"/>
          </w:tcPr>
          <w:p>
            <w:pPr>
              <w:ind w:firstLine="422"/>
              <w:jc w:val="center"/>
              <w:rPr>
                <w:rFonts w:ascii="宋体" w:hAnsi="宋体"/>
                <w:color w:val="auto"/>
                <w:sz w:val="21"/>
                <w:szCs w:val="21"/>
                <w:highlight w:val="none"/>
                <w:lang w:val="zh-CN"/>
              </w:rPr>
            </w:pPr>
            <w:r>
              <w:rPr>
                <w:rFonts w:ascii="宋体" w:hAnsi="宋体"/>
                <w:color w:val="auto"/>
                <w:sz w:val="21"/>
                <w:szCs w:val="21"/>
                <w:highlight w:val="none"/>
                <w:lang w:val="zh-CN"/>
              </w:rPr>
            </w:r>
            <w:r/>
          </w:p>
        </w:tc>
        <w:tc>
          <w:tcPr>
            <w:tcW w:w="1298" w:type="dxa"/>
            <w:vAlign w:val="center"/>
            <w:textDirection w:val="lrTb"/>
            <w:noWrap w:val="false"/>
          </w:tcPr>
          <w:p>
            <w:pPr>
              <w:ind w:firstLine="422"/>
              <w:jc w:val="center"/>
              <w:rPr>
                <w:rFonts w:ascii="宋体" w:hAnsi="宋体"/>
                <w:color w:val="auto"/>
                <w:sz w:val="21"/>
                <w:szCs w:val="21"/>
                <w:highlight w:val="none"/>
                <w:lang w:val="zh-CN"/>
              </w:rPr>
            </w:pPr>
            <w:r>
              <w:rPr>
                <w:rFonts w:ascii="宋体" w:hAnsi="宋体"/>
                <w:color w:val="auto"/>
                <w:sz w:val="21"/>
                <w:szCs w:val="21"/>
                <w:highlight w:val="none"/>
                <w:lang w:val="zh-CN"/>
              </w:rPr>
            </w:r>
            <w:r/>
          </w:p>
        </w:tc>
        <w:tc>
          <w:tcPr>
            <w:tcW w:w="1359" w:type="dxa"/>
            <w:vAlign w:val="center"/>
            <w:textDirection w:val="lrTb"/>
            <w:noWrap w:val="false"/>
          </w:tcPr>
          <w:p>
            <w:pPr>
              <w:ind w:firstLine="422"/>
              <w:jc w:val="center"/>
              <w:rPr>
                <w:rFonts w:ascii="宋体" w:hAnsi="宋体"/>
                <w:color w:val="auto"/>
                <w:sz w:val="21"/>
                <w:szCs w:val="21"/>
                <w:highlight w:val="none"/>
              </w:rPr>
            </w:pPr>
            <w:r>
              <w:rPr>
                <w:rFonts w:ascii="宋体" w:hAnsi="宋体"/>
                <w:color w:val="auto"/>
                <w:sz w:val="21"/>
                <w:szCs w:val="21"/>
                <w:highlight w:val="none"/>
              </w:rPr>
            </w:r>
            <w:r/>
          </w:p>
        </w:tc>
        <w:tc>
          <w:tcPr>
            <w:tcW w:w="741" w:type="dxa"/>
            <w:vAlign w:val="center"/>
            <w:textDirection w:val="lrTb"/>
            <w:noWrap w:val="false"/>
          </w:tcPr>
          <w:p>
            <w:pPr>
              <w:ind w:firstLine="422"/>
              <w:jc w:val="center"/>
              <w:rPr>
                <w:rFonts w:ascii="宋体" w:hAnsi="宋体"/>
                <w:color w:val="auto"/>
                <w:sz w:val="21"/>
                <w:szCs w:val="21"/>
                <w:highlight w:val="none"/>
                <w:lang w:val="zh-CN"/>
              </w:rPr>
            </w:pPr>
            <w:r>
              <w:rPr>
                <w:rFonts w:ascii="宋体" w:hAnsi="宋体"/>
                <w:color w:val="auto"/>
                <w:sz w:val="21"/>
                <w:szCs w:val="21"/>
                <w:highlight w:val="none"/>
                <w:lang w:val="zh-CN"/>
              </w:rPr>
            </w:r>
            <w:r/>
          </w:p>
        </w:tc>
        <w:tc>
          <w:tcPr>
            <w:tcW w:w="778" w:type="dxa"/>
            <w:vAlign w:val="center"/>
            <w:textDirection w:val="lrTb"/>
            <w:noWrap w:val="false"/>
          </w:tcPr>
          <w:p>
            <w:pPr>
              <w:ind w:firstLine="422"/>
              <w:jc w:val="center"/>
              <w:rPr>
                <w:rFonts w:ascii="宋体" w:hAnsi="宋体"/>
                <w:color w:val="auto"/>
                <w:sz w:val="21"/>
                <w:szCs w:val="21"/>
                <w:highlight w:val="none"/>
                <w:lang w:val="zh-CN"/>
              </w:rPr>
            </w:pPr>
            <w:r>
              <w:rPr>
                <w:rFonts w:ascii="宋体" w:hAnsi="宋体"/>
                <w:color w:val="auto"/>
                <w:sz w:val="21"/>
                <w:szCs w:val="21"/>
                <w:highlight w:val="none"/>
                <w:lang w:val="zh-CN"/>
              </w:rPr>
            </w:r>
            <w:r/>
          </w:p>
        </w:tc>
        <w:tc>
          <w:tcPr>
            <w:tcW w:w="881" w:type="dxa"/>
            <w:vAlign w:val="center"/>
            <w:textDirection w:val="lrTb"/>
            <w:noWrap w:val="false"/>
          </w:tcPr>
          <w:p>
            <w:pPr>
              <w:ind w:firstLine="422"/>
              <w:jc w:val="center"/>
              <w:rPr>
                <w:rFonts w:ascii="宋体" w:hAnsi="宋体"/>
                <w:color w:val="auto"/>
                <w:sz w:val="21"/>
                <w:szCs w:val="21"/>
                <w:highlight w:val="none"/>
                <w:lang w:val="zh-CN"/>
              </w:rPr>
            </w:pPr>
            <w:r>
              <w:rPr>
                <w:rFonts w:ascii="宋体" w:hAnsi="宋体"/>
                <w:color w:val="auto"/>
                <w:sz w:val="21"/>
                <w:szCs w:val="21"/>
                <w:highlight w:val="none"/>
                <w:lang w:val="zh-CN"/>
              </w:rPr>
            </w:r>
            <w:r/>
          </w:p>
        </w:tc>
        <w:tc>
          <w:tcPr>
            <w:tcW w:w="1013" w:type="dxa"/>
            <w:vAlign w:val="center"/>
            <w:textDirection w:val="lrTb"/>
            <w:noWrap w:val="false"/>
          </w:tcPr>
          <w:p>
            <w:pPr>
              <w:ind w:firstLine="422"/>
              <w:jc w:val="center"/>
              <w:rPr>
                <w:rFonts w:ascii="宋体" w:hAnsi="宋体"/>
                <w:color w:val="auto"/>
                <w:sz w:val="21"/>
                <w:szCs w:val="21"/>
                <w:highlight w:val="none"/>
                <w:lang w:val="zh-CN"/>
              </w:rPr>
            </w:pPr>
            <w:r>
              <w:rPr>
                <w:rFonts w:ascii="宋体" w:hAnsi="宋体"/>
                <w:color w:val="auto"/>
                <w:sz w:val="21"/>
                <w:szCs w:val="21"/>
                <w:highlight w:val="none"/>
                <w:lang w:val="zh-CN"/>
              </w:rPr>
            </w:r>
            <w:r/>
          </w:p>
        </w:tc>
        <w:tc>
          <w:tcPr>
            <w:tcW w:w="1438" w:type="dxa"/>
            <w:vAlign w:val="center"/>
            <w:textDirection w:val="lrTb"/>
            <w:noWrap w:val="false"/>
          </w:tcPr>
          <w:p>
            <w:pPr>
              <w:ind w:firstLine="422"/>
              <w:jc w:val="center"/>
              <w:rPr>
                <w:rFonts w:ascii="宋体" w:hAnsi="宋体"/>
                <w:color w:val="auto"/>
                <w:sz w:val="21"/>
                <w:szCs w:val="21"/>
                <w:highlight w:val="none"/>
              </w:rPr>
            </w:pPr>
            <w:r>
              <w:rPr>
                <w:rFonts w:ascii="宋体" w:hAnsi="宋体"/>
                <w:color w:val="auto"/>
                <w:sz w:val="21"/>
                <w:szCs w:val="21"/>
                <w:highlight w:val="none"/>
              </w:rPr>
            </w:r>
            <w:r/>
          </w:p>
        </w:tc>
      </w:tr>
      <w:tr>
        <w:trPr>
          <w:jc w:val="center"/>
          <w:trHeight w:val="20"/>
        </w:trPr>
        <w:tc>
          <w:tcPr>
            <w:tcW w:w="638" w:type="dxa"/>
            <w:vAlign w:val="center"/>
            <w:textDirection w:val="lrTb"/>
            <w:noWrap w:val="false"/>
          </w:tcPr>
          <w:p>
            <w:pPr>
              <w:ind w:firstLine="422"/>
              <w:jc w:val="center"/>
              <w:rPr>
                <w:rFonts w:ascii="宋体" w:hAnsi="宋体"/>
                <w:color w:val="auto"/>
                <w:sz w:val="21"/>
                <w:szCs w:val="21"/>
                <w:highlight w:val="none"/>
                <w:lang w:val="zh-CN"/>
              </w:rPr>
            </w:pPr>
            <w:r>
              <w:rPr>
                <w:rFonts w:ascii="宋体" w:hAnsi="宋体"/>
                <w:color w:val="auto"/>
                <w:sz w:val="21"/>
                <w:szCs w:val="21"/>
                <w:highlight w:val="none"/>
                <w:lang w:val="zh-CN"/>
              </w:rPr>
            </w:r>
            <w:r/>
          </w:p>
        </w:tc>
        <w:tc>
          <w:tcPr>
            <w:tcW w:w="1316" w:type="dxa"/>
            <w:vAlign w:val="center"/>
            <w:textDirection w:val="lrTb"/>
            <w:noWrap w:val="false"/>
          </w:tcPr>
          <w:p>
            <w:pPr>
              <w:ind w:firstLine="422"/>
              <w:jc w:val="center"/>
              <w:rPr>
                <w:rFonts w:ascii="宋体" w:hAnsi="宋体"/>
                <w:color w:val="auto"/>
                <w:sz w:val="21"/>
                <w:szCs w:val="21"/>
                <w:highlight w:val="none"/>
                <w:lang w:val="zh-CN"/>
              </w:rPr>
            </w:pPr>
            <w:r>
              <w:rPr>
                <w:rFonts w:ascii="宋体" w:hAnsi="宋体"/>
                <w:color w:val="auto"/>
                <w:sz w:val="21"/>
                <w:szCs w:val="21"/>
                <w:highlight w:val="none"/>
                <w:lang w:val="zh-CN"/>
              </w:rPr>
            </w:r>
            <w:r/>
          </w:p>
        </w:tc>
        <w:tc>
          <w:tcPr>
            <w:tcW w:w="1298" w:type="dxa"/>
            <w:vAlign w:val="center"/>
            <w:textDirection w:val="lrTb"/>
            <w:noWrap w:val="false"/>
          </w:tcPr>
          <w:p>
            <w:pPr>
              <w:ind w:firstLine="422"/>
              <w:jc w:val="center"/>
              <w:rPr>
                <w:rFonts w:ascii="宋体" w:hAnsi="宋体"/>
                <w:color w:val="auto"/>
                <w:sz w:val="21"/>
                <w:szCs w:val="21"/>
                <w:highlight w:val="none"/>
                <w:lang w:val="zh-CN"/>
              </w:rPr>
            </w:pPr>
            <w:r>
              <w:rPr>
                <w:rFonts w:ascii="宋体" w:hAnsi="宋体"/>
                <w:color w:val="auto"/>
                <w:sz w:val="21"/>
                <w:szCs w:val="21"/>
                <w:highlight w:val="none"/>
                <w:lang w:val="zh-CN"/>
              </w:rPr>
            </w:r>
            <w:r/>
          </w:p>
        </w:tc>
        <w:tc>
          <w:tcPr>
            <w:tcW w:w="1359" w:type="dxa"/>
            <w:vAlign w:val="center"/>
            <w:textDirection w:val="lrTb"/>
            <w:noWrap w:val="false"/>
          </w:tcPr>
          <w:p>
            <w:pPr>
              <w:ind w:firstLine="422"/>
              <w:jc w:val="center"/>
              <w:rPr>
                <w:rFonts w:ascii="宋体" w:hAnsi="宋体"/>
                <w:color w:val="auto"/>
                <w:sz w:val="21"/>
                <w:szCs w:val="21"/>
                <w:highlight w:val="none"/>
              </w:rPr>
            </w:pPr>
            <w:r>
              <w:rPr>
                <w:rFonts w:ascii="宋体" w:hAnsi="宋体"/>
                <w:color w:val="auto"/>
                <w:sz w:val="21"/>
                <w:szCs w:val="21"/>
                <w:highlight w:val="none"/>
              </w:rPr>
            </w:r>
            <w:r/>
          </w:p>
        </w:tc>
        <w:tc>
          <w:tcPr>
            <w:tcW w:w="741" w:type="dxa"/>
            <w:vAlign w:val="center"/>
            <w:textDirection w:val="lrTb"/>
            <w:noWrap w:val="false"/>
          </w:tcPr>
          <w:p>
            <w:pPr>
              <w:ind w:firstLine="422"/>
              <w:jc w:val="center"/>
              <w:rPr>
                <w:rFonts w:ascii="宋体" w:hAnsi="宋体"/>
                <w:color w:val="auto"/>
                <w:sz w:val="21"/>
                <w:szCs w:val="21"/>
                <w:highlight w:val="none"/>
                <w:lang w:val="zh-CN"/>
              </w:rPr>
            </w:pPr>
            <w:r>
              <w:rPr>
                <w:rFonts w:ascii="宋体" w:hAnsi="宋体"/>
                <w:color w:val="auto"/>
                <w:sz w:val="21"/>
                <w:szCs w:val="21"/>
                <w:highlight w:val="none"/>
                <w:lang w:val="zh-CN"/>
              </w:rPr>
            </w:r>
            <w:r/>
          </w:p>
        </w:tc>
        <w:tc>
          <w:tcPr>
            <w:tcW w:w="778" w:type="dxa"/>
            <w:vAlign w:val="center"/>
            <w:textDirection w:val="lrTb"/>
            <w:noWrap w:val="false"/>
          </w:tcPr>
          <w:p>
            <w:pPr>
              <w:ind w:firstLine="422"/>
              <w:jc w:val="center"/>
              <w:rPr>
                <w:rFonts w:ascii="宋体" w:hAnsi="宋体"/>
                <w:color w:val="auto"/>
                <w:sz w:val="21"/>
                <w:szCs w:val="21"/>
                <w:highlight w:val="none"/>
                <w:lang w:val="zh-CN"/>
              </w:rPr>
            </w:pPr>
            <w:r>
              <w:rPr>
                <w:rFonts w:ascii="宋体" w:hAnsi="宋体"/>
                <w:color w:val="auto"/>
                <w:sz w:val="21"/>
                <w:szCs w:val="21"/>
                <w:highlight w:val="none"/>
                <w:lang w:val="zh-CN"/>
              </w:rPr>
            </w:r>
            <w:r/>
          </w:p>
        </w:tc>
        <w:tc>
          <w:tcPr>
            <w:tcW w:w="881" w:type="dxa"/>
            <w:vAlign w:val="center"/>
            <w:textDirection w:val="lrTb"/>
            <w:noWrap w:val="false"/>
          </w:tcPr>
          <w:p>
            <w:pPr>
              <w:ind w:firstLine="422"/>
              <w:jc w:val="center"/>
              <w:rPr>
                <w:rFonts w:ascii="宋体" w:hAnsi="宋体"/>
                <w:color w:val="auto"/>
                <w:sz w:val="21"/>
                <w:szCs w:val="21"/>
                <w:highlight w:val="none"/>
                <w:lang w:val="zh-CN"/>
              </w:rPr>
            </w:pPr>
            <w:r>
              <w:rPr>
                <w:rFonts w:ascii="宋体" w:hAnsi="宋体"/>
                <w:color w:val="auto"/>
                <w:sz w:val="21"/>
                <w:szCs w:val="21"/>
                <w:highlight w:val="none"/>
                <w:lang w:val="zh-CN"/>
              </w:rPr>
            </w:r>
            <w:r/>
          </w:p>
        </w:tc>
        <w:tc>
          <w:tcPr>
            <w:tcW w:w="1013" w:type="dxa"/>
            <w:vAlign w:val="center"/>
            <w:textDirection w:val="lrTb"/>
            <w:noWrap w:val="false"/>
          </w:tcPr>
          <w:p>
            <w:pPr>
              <w:ind w:firstLine="422"/>
              <w:jc w:val="center"/>
              <w:rPr>
                <w:rFonts w:ascii="宋体" w:hAnsi="宋体"/>
                <w:color w:val="auto"/>
                <w:sz w:val="21"/>
                <w:szCs w:val="21"/>
                <w:highlight w:val="none"/>
                <w:lang w:val="zh-CN"/>
              </w:rPr>
            </w:pPr>
            <w:r>
              <w:rPr>
                <w:rFonts w:ascii="宋体" w:hAnsi="宋体"/>
                <w:color w:val="auto"/>
                <w:sz w:val="21"/>
                <w:szCs w:val="21"/>
                <w:highlight w:val="none"/>
                <w:lang w:val="zh-CN"/>
              </w:rPr>
            </w:r>
            <w:r/>
          </w:p>
        </w:tc>
        <w:tc>
          <w:tcPr>
            <w:tcW w:w="1438" w:type="dxa"/>
            <w:vAlign w:val="center"/>
            <w:textDirection w:val="lrTb"/>
            <w:noWrap w:val="false"/>
          </w:tcPr>
          <w:p>
            <w:pPr>
              <w:ind w:firstLine="422"/>
              <w:jc w:val="center"/>
              <w:rPr>
                <w:rFonts w:ascii="宋体" w:hAnsi="宋体"/>
                <w:color w:val="auto"/>
                <w:sz w:val="21"/>
                <w:szCs w:val="21"/>
                <w:highlight w:val="none"/>
              </w:rPr>
            </w:pPr>
            <w:r>
              <w:rPr>
                <w:rFonts w:ascii="宋体" w:hAnsi="宋体"/>
                <w:color w:val="auto"/>
                <w:sz w:val="21"/>
                <w:szCs w:val="21"/>
                <w:highlight w:val="none"/>
              </w:rPr>
            </w:r>
            <w:r/>
          </w:p>
        </w:tc>
      </w:tr>
      <w:tr>
        <w:trPr>
          <w:jc w:val="center"/>
          <w:trHeight w:val="20"/>
        </w:trPr>
        <w:tc>
          <w:tcPr>
            <w:tcW w:w="638" w:type="dxa"/>
            <w:vAlign w:val="center"/>
            <w:textDirection w:val="lrTb"/>
            <w:noWrap w:val="false"/>
          </w:tcPr>
          <w:p>
            <w:pPr>
              <w:ind w:firstLine="422"/>
              <w:jc w:val="center"/>
              <w:rPr>
                <w:rFonts w:ascii="宋体" w:hAnsi="宋体"/>
                <w:color w:val="auto"/>
                <w:sz w:val="21"/>
                <w:szCs w:val="21"/>
                <w:highlight w:val="none"/>
                <w:lang w:val="zh-CN"/>
              </w:rPr>
            </w:pPr>
            <w:r>
              <w:rPr>
                <w:rFonts w:ascii="宋体" w:hAnsi="宋体"/>
                <w:color w:val="auto"/>
                <w:sz w:val="21"/>
                <w:szCs w:val="21"/>
                <w:highlight w:val="none"/>
                <w:lang w:val="zh-CN"/>
              </w:rPr>
            </w:r>
            <w:r/>
          </w:p>
        </w:tc>
        <w:tc>
          <w:tcPr>
            <w:tcW w:w="1316" w:type="dxa"/>
            <w:vAlign w:val="center"/>
            <w:textDirection w:val="lrTb"/>
            <w:noWrap w:val="false"/>
          </w:tcPr>
          <w:p>
            <w:pPr>
              <w:ind w:firstLine="422"/>
              <w:jc w:val="center"/>
              <w:rPr>
                <w:rFonts w:ascii="宋体" w:hAnsi="宋体"/>
                <w:color w:val="auto"/>
                <w:sz w:val="21"/>
                <w:szCs w:val="21"/>
                <w:highlight w:val="none"/>
                <w:lang w:val="zh-CN"/>
              </w:rPr>
            </w:pPr>
            <w:r>
              <w:rPr>
                <w:rFonts w:ascii="宋体" w:hAnsi="宋体"/>
                <w:color w:val="auto"/>
                <w:sz w:val="21"/>
                <w:szCs w:val="21"/>
                <w:highlight w:val="none"/>
                <w:lang w:val="zh-CN"/>
              </w:rPr>
            </w:r>
            <w:r/>
          </w:p>
        </w:tc>
        <w:tc>
          <w:tcPr>
            <w:tcW w:w="1298" w:type="dxa"/>
            <w:vAlign w:val="center"/>
            <w:textDirection w:val="lrTb"/>
            <w:noWrap w:val="false"/>
          </w:tcPr>
          <w:p>
            <w:pPr>
              <w:ind w:firstLine="422"/>
              <w:jc w:val="center"/>
              <w:rPr>
                <w:rFonts w:ascii="宋体" w:hAnsi="宋体"/>
                <w:color w:val="auto"/>
                <w:sz w:val="21"/>
                <w:szCs w:val="21"/>
                <w:highlight w:val="none"/>
                <w:lang w:val="zh-CN"/>
              </w:rPr>
            </w:pPr>
            <w:r>
              <w:rPr>
                <w:rFonts w:ascii="宋体" w:hAnsi="宋体"/>
                <w:color w:val="auto"/>
                <w:sz w:val="21"/>
                <w:szCs w:val="21"/>
                <w:highlight w:val="none"/>
                <w:lang w:val="zh-CN"/>
              </w:rPr>
            </w:r>
            <w:r/>
          </w:p>
        </w:tc>
        <w:tc>
          <w:tcPr>
            <w:tcW w:w="1359" w:type="dxa"/>
            <w:vAlign w:val="center"/>
            <w:textDirection w:val="lrTb"/>
            <w:noWrap w:val="false"/>
          </w:tcPr>
          <w:p>
            <w:pPr>
              <w:ind w:firstLine="422"/>
              <w:jc w:val="center"/>
              <w:rPr>
                <w:rFonts w:ascii="宋体" w:hAnsi="宋体"/>
                <w:color w:val="auto"/>
                <w:sz w:val="21"/>
                <w:szCs w:val="21"/>
                <w:highlight w:val="none"/>
              </w:rPr>
            </w:pPr>
            <w:r>
              <w:rPr>
                <w:rFonts w:ascii="宋体" w:hAnsi="宋体"/>
                <w:color w:val="auto"/>
                <w:sz w:val="21"/>
                <w:szCs w:val="21"/>
                <w:highlight w:val="none"/>
              </w:rPr>
            </w:r>
            <w:r/>
          </w:p>
        </w:tc>
        <w:tc>
          <w:tcPr>
            <w:tcW w:w="741" w:type="dxa"/>
            <w:vAlign w:val="center"/>
            <w:textDirection w:val="lrTb"/>
            <w:noWrap w:val="false"/>
          </w:tcPr>
          <w:p>
            <w:pPr>
              <w:ind w:firstLine="422"/>
              <w:jc w:val="center"/>
              <w:rPr>
                <w:rFonts w:ascii="宋体" w:hAnsi="宋体"/>
                <w:color w:val="auto"/>
                <w:sz w:val="21"/>
                <w:szCs w:val="21"/>
                <w:highlight w:val="none"/>
                <w:lang w:val="zh-CN"/>
              </w:rPr>
            </w:pPr>
            <w:r>
              <w:rPr>
                <w:rFonts w:ascii="宋体" w:hAnsi="宋体"/>
                <w:color w:val="auto"/>
                <w:sz w:val="21"/>
                <w:szCs w:val="21"/>
                <w:highlight w:val="none"/>
                <w:lang w:val="zh-CN"/>
              </w:rPr>
            </w:r>
            <w:r/>
          </w:p>
        </w:tc>
        <w:tc>
          <w:tcPr>
            <w:tcW w:w="778" w:type="dxa"/>
            <w:vAlign w:val="center"/>
            <w:textDirection w:val="lrTb"/>
            <w:noWrap w:val="false"/>
          </w:tcPr>
          <w:p>
            <w:pPr>
              <w:ind w:firstLine="422"/>
              <w:jc w:val="center"/>
              <w:rPr>
                <w:rFonts w:ascii="宋体" w:hAnsi="宋体"/>
                <w:color w:val="auto"/>
                <w:sz w:val="21"/>
                <w:szCs w:val="21"/>
                <w:highlight w:val="none"/>
                <w:lang w:val="zh-CN"/>
              </w:rPr>
            </w:pPr>
            <w:r>
              <w:rPr>
                <w:rFonts w:ascii="宋体" w:hAnsi="宋体"/>
                <w:color w:val="auto"/>
                <w:sz w:val="21"/>
                <w:szCs w:val="21"/>
                <w:highlight w:val="none"/>
                <w:lang w:val="zh-CN"/>
              </w:rPr>
            </w:r>
            <w:r/>
          </w:p>
        </w:tc>
        <w:tc>
          <w:tcPr>
            <w:tcW w:w="881" w:type="dxa"/>
            <w:vAlign w:val="center"/>
            <w:textDirection w:val="lrTb"/>
            <w:noWrap w:val="false"/>
          </w:tcPr>
          <w:p>
            <w:pPr>
              <w:ind w:firstLine="422"/>
              <w:jc w:val="center"/>
              <w:rPr>
                <w:rFonts w:ascii="宋体" w:hAnsi="宋体"/>
                <w:color w:val="auto"/>
                <w:sz w:val="21"/>
                <w:szCs w:val="21"/>
                <w:highlight w:val="none"/>
                <w:lang w:val="zh-CN"/>
              </w:rPr>
            </w:pPr>
            <w:r>
              <w:rPr>
                <w:rFonts w:ascii="宋体" w:hAnsi="宋体"/>
                <w:color w:val="auto"/>
                <w:sz w:val="21"/>
                <w:szCs w:val="21"/>
                <w:highlight w:val="none"/>
                <w:lang w:val="zh-CN"/>
              </w:rPr>
            </w:r>
            <w:r/>
          </w:p>
        </w:tc>
        <w:tc>
          <w:tcPr>
            <w:tcW w:w="1013" w:type="dxa"/>
            <w:vAlign w:val="center"/>
            <w:textDirection w:val="lrTb"/>
            <w:noWrap w:val="false"/>
          </w:tcPr>
          <w:p>
            <w:pPr>
              <w:ind w:firstLine="422"/>
              <w:jc w:val="center"/>
              <w:rPr>
                <w:rFonts w:ascii="宋体" w:hAnsi="宋体"/>
                <w:color w:val="auto"/>
                <w:sz w:val="21"/>
                <w:szCs w:val="21"/>
                <w:highlight w:val="none"/>
                <w:lang w:val="zh-CN"/>
              </w:rPr>
            </w:pPr>
            <w:r>
              <w:rPr>
                <w:rFonts w:ascii="宋体" w:hAnsi="宋体"/>
                <w:color w:val="auto"/>
                <w:sz w:val="21"/>
                <w:szCs w:val="21"/>
                <w:highlight w:val="none"/>
                <w:lang w:val="zh-CN"/>
              </w:rPr>
            </w:r>
            <w:r/>
          </w:p>
        </w:tc>
        <w:tc>
          <w:tcPr>
            <w:tcW w:w="1438" w:type="dxa"/>
            <w:vAlign w:val="center"/>
            <w:textDirection w:val="lrTb"/>
            <w:noWrap w:val="false"/>
          </w:tcPr>
          <w:p>
            <w:pPr>
              <w:ind w:firstLine="422"/>
              <w:jc w:val="center"/>
              <w:rPr>
                <w:rFonts w:ascii="宋体" w:hAnsi="宋体"/>
                <w:color w:val="auto"/>
                <w:sz w:val="21"/>
                <w:szCs w:val="21"/>
                <w:highlight w:val="none"/>
              </w:rPr>
            </w:pPr>
            <w:r>
              <w:rPr>
                <w:rFonts w:ascii="宋体" w:hAnsi="宋体"/>
                <w:color w:val="auto"/>
                <w:sz w:val="21"/>
                <w:szCs w:val="21"/>
                <w:highlight w:val="none"/>
              </w:rPr>
            </w:r>
            <w:r/>
          </w:p>
        </w:tc>
      </w:tr>
      <w:tr>
        <w:trPr>
          <w:jc w:val="center"/>
          <w:trHeight w:val="20"/>
        </w:trPr>
        <w:tc>
          <w:tcPr>
            <w:tcW w:w="638" w:type="dxa"/>
            <w:vAlign w:val="center"/>
            <w:textDirection w:val="lrTb"/>
            <w:noWrap w:val="false"/>
          </w:tcPr>
          <w:p>
            <w:pPr>
              <w:ind w:firstLine="422"/>
              <w:jc w:val="center"/>
              <w:rPr>
                <w:rFonts w:ascii="宋体" w:hAnsi="宋体"/>
                <w:color w:val="auto"/>
                <w:sz w:val="21"/>
                <w:szCs w:val="21"/>
                <w:highlight w:val="none"/>
                <w:lang w:val="zh-CN"/>
              </w:rPr>
            </w:pPr>
            <w:r>
              <w:rPr>
                <w:rFonts w:ascii="宋体" w:hAnsi="宋体"/>
                <w:color w:val="auto"/>
                <w:sz w:val="21"/>
                <w:szCs w:val="21"/>
                <w:highlight w:val="none"/>
                <w:lang w:val="zh-CN"/>
              </w:rPr>
            </w:r>
            <w:r/>
          </w:p>
        </w:tc>
        <w:tc>
          <w:tcPr>
            <w:tcW w:w="1316" w:type="dxa"/>
            <w:vAlign w:val="center"/>
            <w:textDirection w:val="lrTb"/>
            <w:noWrap w:val="false"/>
          </w:tcPr>
          <w:p>
            <w:pPr>
              <w:ind w:firstLine="422"/>
              <w:jc w:val="center"/>
              <w:rPr>
                <w:rFonts w:ascii="宋体" w:hAnsi="宋体"/>
                <w:color w:val="auto"/>
                <w:sz w:val="21"/>
                <w:szCs w:val="21"/>
                <w:highlight w:val="none"/>
                <w:lang w:val="zh-CN"/>
              </w:rPr>
            </w:pPr>
            <w:r>
              <w:rPr>
                <w:rFonts w:ascii="宋体" w:hAnsi="宋体"/>
                <w:color w:val="auto"/>
                <w:sz w:val="21"/>
                <w:szCs w:val="21"/>
                <w:highlight w:val="none"/>
                <w:lang w:val="zh-CN"/>
              </w:rPr>
            </w:r>
            <w:r/>
          </w:p>
        </w:tc>
        <w:tc>
          <w:tcPr>
            <w:tcW w:w="1298" w:type="dxa"/>
            <w:vAlign w:val="center"/>
            <w:textDirection w:val="lrTb"/>
            <w:noWrap w:val="false"/>
          </w:tcPr>
          <w:p>
            <w:pPr>
              <w:ind w:firstLine="422"/>
              <w:jc w:val="center"/>
              <w:rPr>
                <w:rFonts w:ascii="宋体" w:hAnsi="宋体"/>
                <w:color w:val="auto"/>
                <w:sz w:val="21"/>
                <w:szCs w:val="21"/>
                <w:highlight w:val="none"/>
                <w:lang w:val="zh-CN"/>
              </w:rPr>
            </w:pPr>
            <w:r>
              <w:rPr>
                <w:rFonts w:ascii="宋体" w:hAnsi="宋体"/>
                <w:color w:val="auto"/>
                <w:sz w:val="21"/>
                <w:szCs w:val="21"/>
                <w:highlight w:val="none"/>
                <w:lang w:val="zh-CN"/>
              </w:rPr>
            </w:r>
            <w:r/>
          </w:p>
        </w:tc>
        <w:tc>
          <w:tcPr>
            <w:tcW w:w="1359" w:type="dxa"/>
            <w:vAlign w:val="center"/>
            <w:textDirection w:val="lrTb"/>
            <w:noWrap w:val="false"/>
          </w:tcPr>
          <w:p>
            <w:pPr>
              <w:ind w:firstLine="422"/>
              <w:jc w:val="center"/>
              <w:rPr>
                <w:rFonts w:ascii="宋体" w:hAnsi="宋体"/>
                <w:color w:val="auto"/>
                <w:sz w:val="21"/>
                <w:szCs w:val="21"/>
                <w:highlight w:val="none"/>
              </w:rPr>
            </w:pPr>
            <w:r>
              <w:rPr>
                <w:rFonts w:ascii="宋体" w:hAnsi="宋体"/>
                <w:color w:val="auto"/>
                <w:sz w:val="21"/>
                <w:szCs w:val="21"/>
                <w:highlight w:val="none"/>
              </w:rPr>
            </w:r>
            <w:r/>
          </w:p>
        </w:tc>
        <w:tc>
          <w:tcPr>
            <w:tcW w:w="741" w:type="dxa"/>
            <w:vAlign w:val="center"/>
            <w:textDirection w:val="lrTb"/>
            <w:noWrap w:val="false"/>
          </w:tcPr>
          <w:p>
            <w:pPr>
              <w:ind w:firstLine="422"/>
              <w:jc w:val="center"/>
              <w:rPr>
                <w:rFonts w:ascii="宋体" w:hAnsi="宋体"/>
                <w:color w:val="auto"/>
                <w:sz w:val="21"/>
                <w:szCs w:val="21"/>
                <w:highlight w:val="none"/>
                <w:lang w:val="zh-CN"/>
              </w:rPr>
            </w:pPr>
            <w:r>
              <w:rPr>
                <w:rFonts w:ascii="宋体" w:hAnsi="宋体"/>
                <w:color w:val="auto"/>
                <w:sz w:val="21"/>
                <w:szCs w:val="21"/>
                <w:highlight w:val="none"/>
                <w:lang w:val="zh-CN"/>
              </w:rPr>
            </w:r>
            <w:r/>
          </w:p>
        </w:tc>
        <w:tc>
          <w:tcPr>
            <w:tcW w:w="778" w:type="dxa"/>
            <w:vAlign w:val="center"/>
            <w:textDirection w:val="lrTb"/>
            <w:noWrap w:val="false"/>
          </w:tcPr>
          <w:p>
            <w:pPr>
              <w:ind w:firstLine="422"/>
              <w:jc w:val="center"/>
              <w:rPr>
                <w:rFonts w:ascii="宋体" w:hAnsi="宋体"/>
                <w:color w:val="auto"/>
                <w:sz w:val="21"/>
                <w:szCs w:val="21"/>
                <w:highlight w:val="none"/>
                <w:lang w:val="zh-CN"/>
              </w:rPr>
            </w:pPr>
            <w:r>
              <w:rPr>
                <w:rFonts w:ascii="宋体" w:hAnsi="宋体"/>
                <w:color w:val="auto"/>
                <w:sz w:val="21"/>
                <w:szCs w:val="21"/>
                <w:highlight w:val="none"/>
                <w:lang w:val="zh-CN"/>
              </w:rPr>
            </w:r>
            <w:r/>
          </w:p>
        </w:tc>
        <w:tc>
          <w:tcPr>
            <w:tcW w:w="881" w:type="dxa"/>
            <w:vAlign w:val="center"/>
            <w:textDirection w:val="lrTb"/>
            <w:noWrap w:val="false"/>
          </w:tcPr>
          <w:p>
            <w:pPr>
              <w:ind w:firstLine="422"/>
              <w:jc w:val="center"/>
              <w:rPr>
                <w:rFonts w:ascii="宋体" w:hAnsi="宋体"/>
                <w:color w:val="auto"/>
                <w:sz w:val="21"/>
                <w:szCs w:val="21"/>
                <w:highlight w:val="none"/>
                <w:lang w:val="zh-CN"/>
              </w:rPr>
            </w:pPr>
            <w:r>
              <w:rPr>
                <w:rFonts w:ascii="宋体" w:hAnsi="宋体"/>
                <w:color w:val="auto"/>
                <w:sz w:val="21"/>
                <w:szCs w:val="21"/>
                <w:highlight w:val="none"/>
                <w:lang w:val="zh-CN"/>
              </w:rPr>
            </w:r>
            <w:r/>
          </w:p>
        </w:tc>
        <w:tc>
          <w:tcPr>
            <w:tcW w:w="1013" w:type="dxa"/>
            <w:vAlign w:val="center"/>
            <w:textDirection w:val="lrTb"/>
            <w:noWrap w:val="false"/>
          </w:tcPr>
          <w:p>
            <w:pPr>
              <w:ind w:firstLine="422"/>
              <w:jc w:val="center"/>
              <w:rPr>
                <w:rFonts w:ascii="宋体" w:hAnsi="宋体"/>
                <w:color w:val="auto"/>
                <w:sz w:val="21"/>
                <w:szCs w:val="21"/>
                <w:highlight w:val="none"/>
                <w:lang w:val="zh-CN"/>
              </w:rPr>
            </w:pPr>
            <w:r>
              <w:rPr>
                <w:rFonts w:ascii="宋体" w:hAnsi="宋体"/>
                <w:color w:val="auto"/>
                <w:sz w:val="21"/>
                <w:szCs w:val="21"/>
                <w:highlight w:val="none"/>
                <w:lang w:val="zh-CN"/>
              </w:rPr>
            </w:r>
            <w:r/>
          </w:p>
        </w:tc>
        <w:tc>
          <w:tcPr>
            <w:tcW w:w="1438" w:type="dxa"/>
            <w:vAlign w:val="center"/>
            <w:textDirection w:val="lrTb"/>
            <w:noWrap w:val="false"/>
          </w:tcPr>
          <w:p>
            <w:pPr>
              <w:ind w:firstLine="422"/>
              <w:jc w:val="center"/>
              <w:rPr>
                <w:rFonts w:ascii="宋体" w:hAnsi="宋体"/>
                <w:color w:val="auto"/>
                <w:sz w:val="21"/>
                <w:szCs w:val="21"/>
                <w:highlight w:val="none"/>
              </w:rPr>
            </w:pPr>
            <w:r>
              <w:rPr>
                <w:rFonts w:ascii="宋体" w:hAnsi="宋体"/>
                <w:color w:val="auto"/>
                <w:sz w:val="21"/>
                <w:szCs w:val="21"/>
                <w:highlight w:val="none"/>
              </w:rPr>
            </w:r>
            <w:r/>
          </w:p>
        </w:tc>
      </w:tr>
      <w:tr>
        <w:trPr>
          <w:jc w:val="center"/>
          <w:trHeight w:val="20"/>
        </w:trPr>
        <w:tc>
          <w:tcPr>
            <w:tcW w:w="638" w:type="dxa"/>
            <w:vAlign w:val="center"/>
            <w:textDirection w:val="lrTb"/>
            <w:noWrap w:val="false"/>
          </w:tcPr>
          <w:p>
            <w:pPr>
              <w:ind w:firstLine="422"/>
              <w:jc w:val="center"/>
              <w:rPr>
                <w:rFonts w:ascii="宋体" w:hAnsi="宋体"/>
                <w:color w:val="auto"/>
                <w:sz w:val="21"/>
                <w:szCs w:val="21"/>
                <w:highlight w:val="none"/>
                <w:lang w:val="zh-CN"/>
              </w:rPr>
            </w:pPr>
            <w:r>
              <w:rPr>
                <w:rFonts w:ascii="宋体" w:hAnsi="宋体"/>
                <w:color w:val="auto"/>
                <w:sz w:val="21"/>
                <w:szCs w:val="21"/>
                <w:highlight w:val="none"/>
                <w:lang w:val="zh-CN"/>
              </w:rPr>
            </w:r>
            <w:r/>
          </w:p>
        </w:tc>
        <w:tc>
          <w:tcPr>
            <w:tcW w:w="1316" w:type="dxa"/>
            <w:vAlign w:val="center"/>
            <w:textDirection w:val="lrTb"/>
            <w:noWrap w:val="false"/>
          </w:tcPr>
          <w:p>
            <w:pPr>
              <w:ind w:firstLine="422"/>
              <w:jc w:val="center"/>
              <w:rPr>
                <w:rFonts w:ascii="宋体" w:hAnsi="宋体"/>
                <w:color w:val="auto"/>
                <w:sz w:val="21"/>
                <w:szCs w:val="21"/>
                <w:highlight w:val="none"/>
                <w:lang w:val="zh-CN"/>
              </w:rPr>
            </w:pPr>
            <w:r>
              <w:rPr>
                <w:rFonts w:ascii="宋体" w:hAnsi="宋体"/>
                <w:color w:val="auto"/>
                <w:sz w:val="21"/>
                <w:szCs w:val="21"/>
                <w:highlight w:val="none"/>
                <w:lang w:val="zh-CN"/>
              </w:rPr>
            </w:r>
            <w:r/>
          </w:p>
        </w:tc>
        <w:tc>
          <w:tcPr>
            <w:tcW w:w="1298" w:type="dxa"/>
            <w:vAlign w:val="center"/>
            <w:textDirection w:val="lrTb"/>
            <w:noWrap w:val="false"/>
          </w:tcPr>
          <w:p>
            <w:pPr>
              <w:ind w:firstLine="422"/>
              <w:jc w:val="center"/>
              <w:rPr>
                <w:rFonts w:ascii="宋体" w:hAnsi="宋体"/>
                <w:color w:val="auto"/>
                <w:sz w:val="21"/>
                <w:szCs w:val="21"/>
                <w:highlight w:val="none"/>
                <w:lang w:val="zh-CN"/>
              </w:rPr>
            </w:pPr>
            <w:r>
              <w:rPr>
                <w:rFonts w:ascii="宋体" w:hAnsi="宋体"/>
                <w:color w:val="auto"/>
                <w:sz w:val="21"/>
                <w:szCs w:val="21"/>
                <w:highlight w:val="none"/>
                <w:lang w:val="zh-CN"/>
              </w:rPr>
            </w:r>
            <w:r/>
          </w:p>
        </w:tc>
        <w:tc>
          <w:tcPr>
            <w:tcW w:w="1359" w:type="dxa"/>
            <w:vAlign w:val="center"/>
            <w:textDirection w:val="lrTb"/>
            <w:noWrap w:val="false"/>
          </w:tcPr>
          <w:p>
            <w:pPr>
              <w:ind w:firstLine="422"/>
              <w:jc w:val="center"/>
              <w:rPr>
                <w:rFonts w:ascii="宋体" w:hAnsi="宋体"/>
                <w:color w:val="auto"/>
                <w:sz w:val="21"/>
                <w:szCs w:val="21"/>
                <w:highlight w:val="none"/>
              </w:rPr>
            </w:pPr>
            <w:r>
              <w:rPr>
                <w:rFonts w:ascii="宋体" w:hAnsi="宋体"/>
                <w:color w:val="auto"/>
                <w:sz w:val="21"/>
                <w:szCs w:val="21"/>
                <w:highlight w:val="none"/>
              </w:rPr>
            </w:r>
            <w:r/>
          </w:p>
        </w:tc>
        <w:tc>
          <w:tcPr>
            <w:tcW w:w="741" w:type="dxa"/>
            <w:vAlign w:val="center"/>
            <w:textDirection w:val="lrTb"/>
            <w:noWrap w:val="false"/>
          </w:tcPr>
          <w:p>
            <w:pPr>
              <w:ind w:firstLine="422"/>
              <w:jc w:val="center"/>
              <w:rPr>
                <w:rFonts w:ascii="宋体" w:hAnsi="宋体"/>
                <w:color w:val="auto"/>
                <w:sz w:val="21"/>
                <w:szCs w:val="21"/>
                <w:highlight w:val="none"/>
                <w:lang w:val="zh-CN"/>
              </w:rPr>
            </w:pPr>
            <w:r>
              <w:rPr>
                <w:rFonts w:ascii="宋体" w:hAnsi="宋体"/>
                <w:color w:val="auto"/>
                <w:sz w:val="21"/>
                <w:szCs w:val="21"/>
                <w:highlight w:val="none"/>
                <w:lang w:val="zh-CN"/>
              </w:rPr>
            </w:r>
            <w:r/>
          </w:p>
        </w:tc>
        <w:tc>
          <w:tcPr>
            <w:tcW w:w="778" w:type="dxa"/>
            <w:vAlign w:val="center"/>
            <w:textDirection w:val="lrTb"/>
            <w:noWrap w:val="false"/>
          </w:tcPr>
          <w:p>
            <w:pPr>
              <w:ind w:firstLine="422"/>
              <w:jc w:val="center"/>
              <w:rPr>
                <w:rFonts w:ascii="宋体" w:hAnsi="宋体"/>
                <w:color w:val="auto"/>
                <w:sz w:val="21"/>
                <w:szCs w:val="21"/>
                <w:highlight w:val="none"/>
                <w:lang w:val="zh-CN"/>
              </w:rPr>
            </w:pPr>
            <w:r>
              <w:rPr>
                <w:rFonts w:ascii="宋体" w:hAnsi="宋体"/>
                <w:color w:val="auto"/>
                <w:sz w:val="21"/>
                <w:szCs w:val="21"/>
                <w:highlight w:val="none"/>
                <w:lang w:val="zh-CN"/>
              </w:rPr>
            </w:r>
            <w:r/>
          </w:p>
        </w:tc>
        <w:tc>
          <w:tcPr>
            <w:tcW w:w="881" w:type="dxa"/>
            <w:vAlign w:val="center"/>
            <w:textDirection w:val="lrTb"/>
            <w:noWrap w:val="false"/>
          </w:tcPr>
          <w:p>
            <w:pPr>
              <w:ind w:firstLine="422"/>
              <w:jc w:val="center"/>
              <w:rPr>
                <w:rFonts w:ascii="宋体" w:hAnsi="宋体"/>
                <w:color w:val="auto"/>
                <w:sz w:val="21"/>
                <w:szCs w:val="21"/>
                <w:highlight w:val="none"/>
                <w:lang w:val="zh-CN"/>
              </w:rPr>
            </w:pPr>
            <w:r>
              <w:rPr>
                <w:rFonts w:ascii="宋体" w:hAnsi="宋体"/>
                <w:color w:val="auto"/>
                <w:sz w:val="21"/>
                <w:szCs w:val="21"/>
                <w:highlight w:val="none"/>
                <w:lang w:val="zh-CN"/>
              </w:rPr>
            </w:r>
            <w:r/>
          </w:p>
        </w:tc>
        <w:tc>
          <w:tcPr>
            <w:tcW w:w="1013" w:type="dxa"/>
            <w:vAlign w:val="center"/>
            <w:textDirection w:val="lrTb"/>
            <w:noWrap w:val="false"/>
          </w:tcPr>
          <w:p>
            <w:pPr>
              <w:ind w:firstLine="422"/>
              <w:jc w:val="center"/>
              <w:rPr>
                <w:rFonts w:ascii="宋体" w:hAnsi="宋体"/>
                <w:color w:val="auto"/>
                <w:sz w:val="21"/>
                <w:szCs w:val="21"/>
                <w:highlight w:val="none"/>
                <w:lang w:val="zh-CN"/>
              </w:rPr>
            </w:pPr>
            <w:r>
              <w:rPr>
                <w:rFonts w:ascii="宋体" w:hAnsi="宋体"/>
                <w:color w:val="auto"/>
                <w:sz w:val="21"/>
                <w:szCs w:val="21"/>
                <w:highlight w:val="none"/>
                <w:lang w:val="zh-CN"/>
              </w:rPr>
            </w:r>
            <w:r/>
          </w:p>
        </w:tc>
        <w:tc>
          <w:tcPr>
            <w:tcW w:w="1438" w:type="dxa"/>
            <w:vAlign w:val="center"/>
            <w:textDirection w:val="lrTb"/>
            <w:noWrap w:val="false"/>
          </w:tcPr>
          <w:p>
            <w:pPr>
              <w:ind w:firstLine="422"/>
              <w:jc w:val="center"/>
              <w:rPr>
                <w:rFonts w:ascii="宋体" w:hAnsi="宋体"/>
                <w:color w:val="auto"/>
                <w:sz w:val="21"/>
                <w:szCs w:val="21"/>
                <w:highlight w:val="none"/>
              </w:rPr>
            </w:pPr>
            <w:r>
              <w:rPr>
                <w:rFonts w:ascii="宋体" w:hAnsi="宋体"/>
                <w:color w:val="auto"/>
                <w:sz w:val="21"/>
                <w:szCs w:val="21"/>
                <w:highlight w:val="none"/>
              </w:rPr>
            </w:r>
            <w:r/>
          </w:p>
        </w:tc>
      </w:tr>
      <w:tr>
        <w:trPr>
          <w:jc w:val="center"/>
          <w:trHeight w:val="20"/>
        </w:trPr>
        <w:tc>
          <w:tcPr>
            <w:gridSpan w:val="2"/>
            <w:tcW w:w="1954" w:type="dxa"/>
            <w:vAlign w:val="center"/>
            <w:textDirection w:val="lrTb"/>
            <w:noWrap w:val="false"/>
          </w:tcPr>
          <w:p>
            <w:pPr>
              <w:ind w:firstLine="422"/>
              <w:jc w:val="center"/>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投标总报价：</w:t>
            </w:r>
            <w:r/>
          </w:p>
        </w:tc>
        <w:tc>
          <w:tcPr>
            <w:gridSpan w:val="7"/>
            <w:tcW w:w="7508" w:type="dxa"/>
            <w:vAlign w:val="center"/>
            <w:textDirection w:val="lrTb"/>
            <w:noWrap w:val="false"/>
          </w:tcPr>
          <w:p>
            <w:pPr>
              <w:ind w:firstLine="422"/>
              <w:jc w:val="center"/>
              <w:rPr>
                <w:rFonts w:ascii="宋体" w:hAnsi="宋体"/>
                <w:color w:val="auto"/>
                <w:sz w:val="21"/>
                <w:szCs w:val="21"/>
                <w:highlight w:val="none"/>
              </w:rPr>
            </w:pPr>
            <w:r>
              <w:rPr>
                <w:rFonts w:hint="eastAsia" w:ascii="宋体" w:hAnsi="宋体"/>
                <w:color w:val="auto"/>
                <w:sz w:val="21"/>
                <w:szCs w:val="21"/>
                <w:highlight w:val="none"/>
                <w:lang w:val="zh-CN"/>
              </w:rPr>
              <w:t xml:space="preserve">大写：元</w:t>
            </w:r>
            <w:r/>
          </w:p>
        </w:tc>
      </w:tr>
      <w:tr>
        <w:trPr>
          <w:jc w:val="center"/>
          <w:trHeight w:val="20"/>
        </w:trPr>
        <w:tc>
          <w:tcPr>
            <w:gridSpan w:val="9"/>
            <w:tcW w:w="9462" w:type="dxa"/>
            <w:vAlign w:val="center"/>
            <w:textDirection w:val="lrTb"/>
            <w:noWrap w:val="false"/>
          </w:tcPr>
          <w:p>
            <w:pPr>
              <w:ind w:firstLine="422"/>
              <w:jc w:val="left"/>
              <w:rPr>
                <w:rFonts w:ascii="宋体" w:hAnsi="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注：</w:t>
            </w:r>
            <w:r>
              <w:rPr>
                <w:rFonts w:hint="eastAsia" w:ascii="宋体" w:hAnsi="宋体" w:eastAsia="宋体" w:cs="宋体"/>
                <w:color w:val="auto"/>
                <w:sz w:val="21"/>
                <w:szCs w:val="21"/>
                <w:highlight w:val="none"/>
              </w:rPr>
              <w:t xml:space="preserve">本采购包中提供的符合本国产品标准的产品成本之和占该采购包提供的全部产品成本之和的比例为</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w:t>
            </w:r>
            <w:r/>
          </w:p>
        </w:tc>
      </w:tr>
    </w:tbl>
    <w:p>
      <w:pPr>
        <w:pStyle w:val="1084"/>
        <w:ind w:firstLine="420"/>
        <w:spacing w:line="360" w:lineRule="auto"/>
        <w:rPr>
          <w:rFonts w:hAnsi="宋体" w:eastAsia="宋体"/>
          <w:color w:val="auto"/>
          <w:sz w:val="21"/>
          <w:szCs w:val="21"/>
          <w:highlight w:val="none"/>
        </w:rPr>
      </w:pPr>
      <w:r>
        <w:rPr>
          <w:rFonts w:hAnsi="宋体" w:eastAsia="宋体"/>
          <w:color w:val="auto"/>
          <w:sz w:val="21"/>
          <w:szCs w:val="21"/>
          <w:highlight w:val="none"/>
        </w:rPr>
      </w:r>
      <w:r/>
    </w:p>
    <w:p>
      <w:pPr>
        <w:pStyle w:val="1084"/>
        <w:ind w:firstLine="420"/>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投标单位（签章）：</w:t>
      </w:r>
      <w:r/>
    </w:p>
    <w:p>
      <w:pPr>
        <w:pStyle w:val="1084"/>
        <w:ind w:firstLine="420"/>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日期：年月日</w:t>
      </w:r>
      <w:r/>
    </w:p>
    <w:p>
      <w:pPr>
        <w:ind w:firstLine="420"/>
        <w:jc w:val="center"/>
        <w:spacing w:line="360" w:lineRule="auto"/>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ind w:firstLine="420"/>
        <w:rPr>
          <w:rFonts w:hAnsi="宋体"/>
          <w:b/>
          <w:bCs/>
          <w:color w:val="auto"/>
          <w:sz w:val="21"/>
          <w:szCs w:val="21"/>
          <w:highlight w:val="none"/>
          <w:lang w:val="zh-CN"/>
        </w:rPr>
      </w:pPr>
      <w:r>
        <w:rPr>
          <w:rFonts w:hAnsi="宋体"/>
          <w:b/>
          <w:bCs/>
          <w:color w:val="auto"/>
          <w:sz w:val="21"/>
          <w:szCs w:val="21"/>
          <w:highlight w:val="none"/>
          <w:lang w:val="zh-CN"/>
        </w:rPr>
      </w:r>
      <w:r/>
    </w:p>
    <w:p>
      <w:pPr>
        <w:pStyle w:val="1024"/>
        <w:ind w:firstLine="402"/>
        <w:tabs>
          <w:tab w:val="center" w:pos="4201" w:leader="none"/>
          <w:tab w:val="right" w:pos="9298" w:leader="dot"/>
        </w:tabs>
        <w:rPr>
          <w:rFonts w:hAnsi="宋体"/>
          <w:b/>
          <w:bCs/>
          <w:color w:val="auto"/>
          <w:sz w:val="21"/>
          <w:szCs w:val="21"/>
          <w:highlight w:val="none"/>
          <w:lang w:val="zh-CN"/>
        </w:rPr>
      </w:pPr>
      <w:r>
        <w:rPr>
          <w:rFonts w:hAnsi="宋体"/>
          <w:b/>
          <w:bCs/>
          <w:color w:val="auto"/>
          <w:sz w:val="21"/>
          <w:szCs w:val="21"/>
          <w:highlight w:val="none"/>
          <w:lang w:val="zh-CN"/>
        </w:rPr>
      </w:r>
      <w:r/>
    </w:p>
    <w:p>
      <w:pPr>
        <w:spacing w:line="360" w:lineRule="auto"/>
        <w:rPr>
          <w:rFonts w:ascii="宋体" w:hAnsi="宋体"/>
          <w:b/>
          <w:bCs/>
          <w:color w:val="auto"/>
          <w:sz w:val="21"/>
          <w:szCs w:val="21"/>
          <w:highlight w:val="none"/>
          <w:lang w:val="zh-CN"/>
        </w:rPr>
      </w:pPr>
      <w:r>
        <w:rPr>
          <w:rFonts w:hint="eastAsia" w:ascii="宋体" w:hAnsi="宋体"/>
          <w:b/>
          <w:bCs/>
          <w:color w:val="auto"/>
          <w:sz w:val="21"/>
          <w:szCs w:val="21"/>
          <w:highlight w:val="none"/>
        </w:rPr>
        <w:t xml:space="preserve">备注：</w:t>
      </w:r>
      <w:r>
        <w:rPr>
          <w:rFonts w:hint="eastAsia" w:ascii="宋体" w:hAnsi="宋体"/>
          <w:b/>
          <w:bCs/>
          <w:color w:val="auto"/>
          <w:sz w:val="21"/>
          <w:szCs w:val="21"/>
          <w:highlight w:val="none"/>
          <w:lang w:val="zh-CN"/>
        </w:rPr>
        <w:t xml:space="preserve">1、请投标单位按照上述格式分析投标总报价，本项投标总报价需与开标一览表投标总报价一致。</w:t>
      </w:r>
      <w:r/>
    </w:p>
    <w:p>
      <w:pPr>
        <w:numPr>
          <w:ilvl w:val="0"/>
          <w:numId w:val="4"/>
        </w:numPr>
        <w:ind w:firstLine="422"/>
        <w:spacing w:line="360" w:lineRule="auto"/>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t xml:space="preserve">投标总报价应</w:t>
      </w:r>
      <w:r>
        <w:rPr>
          <w:rFonts w:hint="eastAsia" w:ascii="宋体" w:hAnsi="宋体"/>
          <w:b/>
          <w:bCs/>
          <w:color w:val="auto"/>
          <w:sz w:val="21"/>
          <w:szCs w:val="21"/>
          <w:highlight w:val="none"/>
          <w:lang w:val="zh-CN" w:eastAsia="zh-CN"/>
        </w:rPr>
        <w:t xml:space="preserve">包括所有货物和服务、配件、辅材以及相关的备件、专用工具、运输、装卸、人工、安装、调试、培训、保险、检验检测、专利技术、技术支持、利润、税金、政策性文件规定及合同包含的所有风险、责任等各项应有费用。</w:t>
      </w:r>
      <w:r/>
    </w:p>
    <w:p>
      <w:pPr>
        <w:numPr>
          <w:ilvl w:val="0"/>
          <w:numId w:val="0"/>
        </w:numPr>
        <w:ind w:firstLine="422"/>
        <w:spacing w:line="360" w:lineRule="auto"/>
        <w:rPr>
          <w:rFonts w:hint="eastAsia" w:ascii="宋体" w:hAnsi="宋体" w:eastAsia="方正魏碑_GBK"/>
          <w:b/>
          <w:bCs/>
          <w:color w:val="auto"/>
          <w:sz w:val="21"/>
          <w:szCs w:val="21"/>
          <w:highlight w:val="none"/>
          <w:lang w:val="zh-CN" w:eastAsia="zh-CN"/>
        </w:rPr>
      </w:pPr>
      <w:r>
        <w:rPr>
          <w:rFonts w:hint="eastAsia" w:ascii="宋体" w:hAnsi="宋体"/>
          <w:b/>
          <w:bCs/>
          <w:color w:val="auto"/>
          <w:sz w:val="21"/>
          <w:szCs w:val="21"/>
          <w:highlight w:val="none"/>
          <w:lang w:val="en-US" w:eastAsia="zh-CN"/>
        </w:rPr>
        <w:t xml:space="preserve">3、</w:t>
      </w:r>
      <w:r>
        <w:rPr>
          <w:rFonts w:hint="eastAsia" w:ascii="方正魏碑_GBK" w:hAnsi="方正魏碑_GBK" w:eastAsia="方正魏碑_GBK" w:cs="方正魏碑_GBK"/>
          <w:b/>
          <w:bCs/>
          <w:color w:val="auto"/>
          <w:sz w:val="21"/>
          <w:szCs w:val="21"/>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方正魏碑_GBK" w:hAnsi="方正魏碑_GBK" w:eastAsia="方正魏碑_GBK" w:cs="方正魏碑_GBK"/>
          <w:b/>
          <w:bCs/>
          <w:color w:val="auto"/>
          <w:sz w:val="21"/>
          <w:szCs w:val="21"/>
          <w:highlight w:val="none"/>
          <w:lang w:eastAsia="zh-CN"/>
        </w:rPr>
        <w:t xml:space="preserve">。</w:t>
      </w:r>
      <w:r/>
    </w:p>
    <w:p>
      <w:p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spacing w:line="360" w:lineRule="auto"/>
        <w:rPr>
          <w:rFonts w:hint="eastAsia" w:ascii="宋体" w:hAnsi="宋体" w:eastAsia="宋体" w:cs="宋体"/>
          <w:b/>
          <w:bCs/>
          <w:sz w:val="21"/>
          <w:szCs w:val="21"/>
          <w:highlight w:val="none"/>
        </w:rPr>
      </w:pPr>
      <w:r>
        <w:rPr>
          <w:rFonts w:hint="eastAsia" w:ascii="宋体" w:hAnsi="宋体" w:eastAsia="宋体" w:cs="宋体"/>
          <w:bCs/>
          <w:sz w:val="21"/>
          <w:szCs w:val="21"/>
          <w:highlight w:val="none"/>
          <w:lang w:val="zh-CN"/>
        </w:rPr>
        <w:br w:type="page" w:clear="all"/>
      </w:r>
      <w:bookmarkStart w:id="21" w:name="_Hlk60250376"/>
      <w:r>
        <w:rPr>
          <w:rFonts w:hint="eastAsia" w:ascii="宋体" w:hAnsi="宋体" w:eastAsia="宋体" w:cs="宋体"/>
          <w:b/>
          <w:bCs/>
          <w:sz w:val="21"/>
          <w:szCs w:val="21"/>
          <w:highlight w:val="none"/>
        </w:rPr>
        <w:t xml:space="preserve">格式5：</w:t>
      </w:r>
      <w:bookmarkEnd w:id="21"/>
      <w:r>
        <w:rPr>
          <w:rFonts w:hint="eastAsia" w:ascii="宋体" w:hAnsi="宋体" w:eastAsia="宋体" w:cs="宋体"/>
          <w:b/>
          <w:bCs/>
          <w:sz w:val="21"/>
          <w:szCs w:val="21"/>
          <w:highlight w:val="none"/>
        </w:rPr>
        <w:t xml:space="preserve">服务人员表</w:t>
      </w:r>
      <w:r/>
    </w:p>
    <w:p>
      <w:pPr>
        <w:ind w:firstLine="480"/>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center"/>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rPr>
        <w:t xml:space="preserve">服务人员表</w:t>
      </w:r>
      <w:r>
        <w:rPr>
          <w:rFonts w:hint="eastAsia" w:ascii="宋体" w:hAnsi="宋体" w:cs="宋体"/>
          <w:b/>
          <w:bCs/>
          <w:sz w:val="21"/>
          <w:szCs w:val="21"/>
          <w:highlight w:val="none"/>
          <w:lang w:eastAsia="zh-CN"/>
        </w:rPr>
        <w:t xml:space="preserve">（</w:t>
      </w:r>
      <w:r>
        <w:rPr>
          <w:rFonts w:hint="eastAsia" w:ascii="宋体" w:hAnsi="宋体" w:cs="宋体"/>
          <w:b/>
          <w:bCs/>
          <w:sz w:val="21"/>
          <w:szCs w:val="21"/>
          <w:highlight w:val="none"/>
          <w:lang w:val="en-US" w:eastAsia="zh-CN"/>
        </w:rPr>
        <w:t xml:space="preserve">如有</w:t>
      </w:r>
      <w:r>
        <w:rPr>
          <w:rFonts w:hint="eastAsia" w:ascii="宋体" w:hAnsi="宋体" w:cs="宋体"/>
          <w:b/>
          <w:bCs/>
          <w:sz w:val="21"/>
          <w:szCs w:val="21"/>
          <w:highlight w:val="none"/>
          <w:lang w:eastAsia="zh-CN"/>
        </w:rPr>
        <w:t xml:space="preserve">）</w:t>
      </w:r>
      <w:r/>
    </w:p>
    <w:p>
      <w:pP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项目名称：                                            </w:t>
      </w:r>
      <w:r/>
    </w:p>
    <w:p>
      <w:pPr>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招标编号：</w:t>
      </w:r>
      <w:r/>
    </w:p>
    <w:tbl>
      <w:tblPr>
        <w:tblStyle w:val="79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6"/>
        <w:gridCol w:w="2614"/>
        <w:gridCol w:w="1041"/>
        <w:gridCol w:w="1084"/>
        <w:gridCol w:w="1035"/>
        <w:gridCol w:w="1105"/>
        <w:gridCol w:w="1000"/>
      </w:tblGrid>
      <w:tr>
        <w:trPr>
          <w:jc w:val="center"/>
          <w:trHeight w:val="760"/>
        </w:trPr>
        <w:tc>
          <w:tcPr>
            <w:tcW w:w="926"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p>
        </w:tc>
        <w:tc>
          <w:tcPr>
            <w:tcW w:w="2614"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岗位</w:t>
            </w:r>
            <w:r/>
          </w:p>
        </w:tc>
        <w:tc>
          <w:tcPr>
            <w:tcW w:w="1041"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姓名</w:t>
            </w:r>
            <w:r/>
          </w:p>
        </w:tc>
        <w:tc>
          <w:tcPr>
            <w:tcW w:w="1084"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性别</w:t>
            </w:r>
            <w:r/>
          </w:p>
        </w:tc>
        <w:tc>
          <w:tcPr>
            <w:tcW w:w="1035"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年龄</w:t>
            </w:r>
            <w:r/>
          </w:p>
        </w:tc>
        <w:tc>
          <w:tcPr>
            <w:tcW w:w="1105"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学历</w:t>
            </w:r>
            <w:r/>
          </w:p>
        </w:tc>
        <w:tc>
          <w:tcPr>
            <w:tcW w:w="1000"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职称</w:t>
            </w:r>
            <w:r/>
          </w:p>
        </w:tc>
      </w:tr>
      <w:tr>
        <w:trPr>
          <w:cantSplit/>
          <w:jc w:val="center"/>
          <w:trHeight w:val="420"/>
        </w:trPr>
        <w:tc>
          <w:tcPr>
            <w:tcW w:w="926"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614" w:type="dxa"/>
            <w:vAlign w:val="center"/>
            <w:textDirection w:val="lrTb"/>
            <w:noWrap w:val="false"/>
          </w:tcPr>
          <w:p>
            <w:pPr>
              <w:jc w:val="center"/>
              <w:spacing w:line="30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W w:w="1041"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84"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35"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05"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00"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jc w:val="center"/>
          <w:trHeight w:val="420"/>
        </w:trPr>
        <w:tc>
          <w:tcPr>
            <w:tcW w:w="926"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614" w:type="dxa"/>
            <w:vAlign w:val="center"/>
            <w:textDirection w:val="lrTb"/>
            <w:noWrap w:val="false"/>
          </w:tcPr>
          <w:p>
            <w:pPr>
              <w:jc w:val="center"/>
              <w:spacing w:line="30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W w:w="1041"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84"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35"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05"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00"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jc w:val="center"/>
          <w:trHeight w:val="420"/>
        </w:trPr>
        <w:tc>
          <w:tcPr>
            <w:tcW w:w="926"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614" w:type="dxa"/>
            <w:vAlign w:val="center"/>
            <w:textDirection w:val="lrTb"/>
            <w:noWrap w:val="false"/>
          </w:tcPr>
          <w:p>
            <w:pPr>
              <w:jc w:val="center"/>
              <w:spacing w:line="30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W w:w="1041"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84"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35"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05"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00"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jc w:val="center"/>
          <w:trHeight w:val="420"/>
        </w:trPr>
        <w:tc>
          <w:tcPr>
            <w:tcW w:w="926"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614" w:type="dxa"/>
            <w:vAlign w:val="center"/>
            <w:textDirection w:val="lrTb"/>
            <w:noWrap w:val="false"/>
          </w:tcPr>
          <w:p>
            <w:pPr>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W w:w="1041"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84"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35"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05"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00"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jc w:val="center"/>
          <w:trHeight w:val="420"/>
        </w:trPr>
        <w:tc>
          <w:tcPr>
            <w:tcW w:w="926"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614"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84"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35"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05"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00"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jc w:val="center"/>
          <w:trHeight w:val="420"/>
        </w:trPr>
        <w:tc>
          <w:tcPr>
            <w:tcW w:w="926"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614"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84"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35"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05"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00"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jc w:val="center"/>
          <w:trHeight w:val="420"/>
        </w:trPr>
        <w:tc>
          <w:tcPr>
            <w:tcW w:w="926"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614"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84"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35"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05"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00"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jc w:val="center"/>
          <w:trHeight w:val="420"/>
        </w:trPr>
        <w:tc>
          <w:tcPr>
            <w:tcW w:w="926"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614"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84"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35"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05"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00"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jc w:val="center"/>
          <w:trHeight w:val="420"/>
        </w:trPr>
        <w:tc>
          <w:tcPr>
            <w:tcW w:w="926"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614"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84"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35"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05"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00"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jc w:val="center"/>
          <w:trHeight w:val="420"/>
        </w:trPr>
        <w:tc>
          <w:tcPr>
            <w:tcW w:w="926"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614"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84"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35"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05"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00"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jc w:val="center"/>
          <w:trHeight w:val="420"/>
        </w:trPr>
        <w:tc>
          <w:tcPr>
            <w:tcW w:w="926"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614"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84"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35"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05"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00"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jc w:val="center"/>
          <w:trHeight w:val="420"/>
        </w:trPr>
        <w:tc>
          <w:tcPr>
            <w:tcW w:w="926"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614"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84"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35"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05"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00"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jc w:val="center"/>
          <w:trHeight w:val="420"/>
        </w:trPr>
        <w:tc>
          <w:tcPr>
            <w:tcW w:w="926"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614"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84"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35"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05"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00"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jc w:val="center"/>
          <w:trHeight w:val="420"/>
        </w:trPr>
        <w:tc>
          <w:tcPr>
            <w:tcW w:w="926"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614"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84"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35"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05"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00"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bl>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80"/>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80"/>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800"/>
        <w:ind w:firstLine="240"/>
        <w:spacing w:line="360" w:lineRule="auto"/>
        <w:rPr>
          <w:rFonts w:hint="eastAsia" w:ascii="宋体" w:hAnsi="宋体" w:eastAsia="宋体" w:cs="宋体"/>
          <w:sz w:val="21"/>
          <w:szCs w:val="21"/>
          <w:highlight w:val="none"/>
        </w:rPr>
      </w:pPr>
      <w:r/>
      <w:bookmarkStart w:id="22" w:name="_Toc18106"/>
      <w:r>
        <w:rPr>
          <w:rFonts w:hint="eastAsia" w:ascii="宋体" w:hAnsi="宋体" w:eastAsia="宋体" w:cs="宋体"/>
          <w:sz w:val="21"/>
          <w:szCs w:val="21"/>
          <w:highlight w:val="none"/>
        </w:rPr>
        <w:t xml:space="preserve">投标单位：（公章）</w:t>
      </w:r>
      <w:r/>
    </w:p>
    <w:p>
      <w:pPr>
        <w:pStyle w:val="800"/>
        <w:ind w:firstLine="24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日期：      年    月    日</w:t>
      </w:r>
      <w:r/>
    </w:p>
    <w:p>
      <w:pPr>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92"/>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92"/>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97"/>
        <w:numPr>
          <w:ilvl w:val="0"/>
          <w:numId w:val="0"/>
        </w:numPr>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97"/>
        <w:numPr>
          <w:ilvl w:val="0"/>
          <w:numId w:val="0"/>
        </w:numPr>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left"/>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格式6：服务方案</w:t>
      </w:r>
      <w:r/>
    </w:p>
    <w:p>
      <w:pPr>
        <w:jc w:val="center"/>
        <w:spacing w:line="440" w:lineRule="exact"/>
        <w:tabs>
          <w:tab w:val="left" w:pos="1320" w:leader="none"/>
        </w:tabs>
        <w:rPr>
          <w:rFonts w:hint="eastAsia" w:ascii="宋体" w:hAnsi="宋体" w:eastAsia="宋体" w:cs="宋体"/>
          <w:b/>
          <w:sz w:val="21"/>
          <w:szCs w:val="21"/>
          <w:highlight w:val="none"/>
        </w:rPr>
      </w:pPr>
      <w:r/>
      <w:bookmarkStart w:id="23" w:name="gpcItem_pack_1_code_7"/>
      <w:r>
        <w:rPr>
          <w:rFonts w:hint="eastAsia" w:ascii="宋体" w:hAnsi="宋体" w:eastAsia="宋体" w:cs="宋体"/>
          <w:b/>
          <w:sz w:val="21"/>
          <w:szCs w:val="21"/>
          <w:highlight w:val="none"/>
        </w:rPr>
        <w:t xml:space="preserve">服务方案</w:t>
      </w:r>
      <w:bookmarkEnd w:id="23"/>
      <w:r/>
      <w:r/>
    </w:p>
    <w:tbl>
      <w:tblPr>
        <w:tblStyle w:val="79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16"/>
      </w:tblGrid>
      <w:tr>
        <w:trPr>
          <w:jc w:val="center"/>
          <w:trHeight w:val="1676"/>
        </w:trPr>
        <w:tc>
          <w:tcPr>
            <w:tcW w:w="8616" w:type="dxa"/>
            <w:vAlign w:val="top"/>
            <w:textDirection w:val="lrTb"/>
            <w:noWrap w:val="false"/>
          </w:tcPr>
          <w:p>
            <w:pPr>
              <w:spacing w:line="440" w:lineRule="exact"/>
              <w:tabs>
                <w:tab w:val="left" w:pos="132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提示：</w:t>
            </w:r>
            <w:r/>
          </w:p>
          <w:p>
            <w:p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1、投标人应针对本次招标项目特点编写公司中标后的管理服务方案、工作计划等。</w:t>
            </w:r>
            <w:r/>
          </w:p>
          <w:p>
            <w:p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2、投标人可根据自身情况编写，本页不够可另加页附后。</w:t>
            </w:r>
            <w:r/>
          </w:p>
        </w:tc>
      </w:tr>
      <w:tr>
        <w:trPr>
          <w:jc w:val="center"/>
          <w:trHeight w:val="90"/>
        </w:trPr>
        <w:tc>
          <w:tcPr>
            <w:tcW w:w="8616" w:type="dxa"/>
            <w:vAlign w:val="top"/>
            <w:textDirection w:val="lrTb"/>
            <w:noWrap w:val="false"/>
          </w:tcPr>
          <w:p>
            <w:pPr>
              <w:spacing w:line="440" w:lineRule="exact"/>
              <w:tabs>
                <w:tab w:val="left" w:pos="132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spacing w:line="440" w:lineRule="exact"/>
              <w:tabs>
                <w:tab w:val="left" w:pos="132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spacing w:line="440" w:lineRule="exact"/>
              <w:tabs>
                <w:tab w:val="left" w:pos="132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spacing w:line="440" w:lineRule="exact"/>
              <w:tabs>
                <w:tab w:val="left" w:pos="132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spacing w:line="440" w:lineRule="exact"/>
              <w:tabs>
                <w:tab w:val="left" w:pos="132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spacing w:line="440" w:lineRule="exact"/>
              <w:tabs>
                <w:tab w:val="left" w:pos="132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spacing w:line="440" w:lineRule="exact"/>
              <w:tabs>
                <w:tab w:val="left" w:pos="132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spacing w:line="440" w:lineRule="exact"/>
              <w:tabs>
                <w:tab w:val="left" w:pos="132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spacing w:line="440" w:lineRule="exact"/>
              <w:tabs>
                <w:tab w:val="left" w:pos="132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spacing w:line="440" w:lineRule="exact"/>
              <w:tabs>
                <w:tab w:val="left" w:pos="132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spacing w:line="440" w:lineRule="exact"/>
              <w:tabs>
                <w:tab w:val="left" w:pos="132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spacing w:line="440" w:lineRule="exact"/>
              <w:tabs>
                <w:tab w:val="left" w:pos="132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spacing w:line="440" w:lineRule="exact"/>
              <w:tabs>
                <w:tab w:val="left" w:pos="132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p>
          <w:p>
            <w:pPr>
              <w:spacing w:line="440" w:lineRule="exact"/>
              <w:tabs>
                <w:tab w:val="left" w:pos="132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spacing w:line="440" w:lineRule="exact"/>
              <w:tabs>
                <w:tab w:val="left" w:pos="132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spacing w:line="440" w:lineRule="exact"/>
              <w:tabs>
                <w:tab w:val="left" w:pos="132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spacing w:line="440" w:lineRule="exact"/>
              <w:tabs>
                <w:tab w:val="left" w:pos="132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spacing w:line="440" w:lineRule="exact"/>
              <w:tabs>
                <w:tab w:val="left" w:pos="132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center"/>
              <w:spacing w:line="440" w:lineRule="exact"/>
              <w:tabs>
                <w:tab w:val="left" w:pos="1320" w:leader="none"/>
              </w:tabs>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单位名称（盖章）：</w:t>
            </w:r>
            <w:r/>
          </w:p>
          <w:p>
            <w:pPr>
              <w:ind w:firstLine="2040"/>
              <w:spacing w:line="440" w:lineRule="exact"/>
              <w:tabs>
                <w:tab w:val="left" w:pos="1320" w:leader="none"/>
              </w:tabs>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r>
            <w:r/>
          </w:p>
          <w:p>
            <w:pPr>
              <w:ind w:firstLine="3720"/>
              <w:spacing w:line="440" w:lineRule="exact"/>
              <w:tabs>
                <w:tab w:val="left" w:pos="1320" w:leader="none"/>
              </w:tabs>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日期：</w:t>
            </w:r>
            <w:r/>
          </w:p>
          <w:p>
            <w:pPr>
              <w:ind w:firstLine="240"/>
              <w:spacing w:line="440" w:lineRule="exact"/>
              <w:tabs>
                <w:tab w:val="left" w:pos="132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bl>
    <w:p>
      <w:pPr>
        <w:pStyle w:val="1078"/>
        <w:ind w:firstLine="0"/>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pStyle w:val="1078"/>
        <w:ind w:firstLine="0"/>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pStyle w:val="1078"/>
        <w:ind w:firstLine="0"/>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pStyle w:val="1078"/>
        <w:ind w:firstLine="0"/>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pStyle w:val="1078"/>
        <w:ind w:firstLine="0"/>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pStyle w:val="1078"/>
        <w:ind w:firstLine="0"/>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pStyle w:val="1078"/>
        <w:ind w:firstLine="0"/>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格式</w:t>
      </w:r>
      <w:r>
        <w:rPr>
          <w:rFonts w:hint="eastAsia" w:ascii="宋体" w:hAnsi="宋体" w:eastAsia="宋体" w:cs="宋体"/>
          <w:b/>
          <w:bCs/>
          <w:sz w:val="21"/>
          <w:szCs w:val="21"/>
          <w:highlight w:val="none"/>
          <w:lang w:val="en-US"/>
        </w:rPr>
        <w:t xml:space="preserve">7</w:t>
      </w:r>
      <w:r>
        <w:rPr>
          <w:rFonts w:hint="eastAsia" w:ascii="宋体" w:hAnsi="宋体" w:eastAsia="宋体" w:cs="宋体"/>
          <w:b/>
          <w:bCs/>
          <w:sz w:val="21"/>
          <w:szCs w:val="21"/>
          <w:highlight w:val="none"/>
        </w:rPr>
        <w:t xml:space="preserve">：</w:t>
      </w:r>
      <w:bookmarkEnd w:id="22"/>
      <w:r>
        <w:rPr>
          <w:rFonts w:hint="eastAsia" w:ascii="宋体" w:hAnsi="宋体" w:eastAsia="宋体" w:cs="宋体"/>
          <w:b/>
          <w:bCs/>
          <w:sz w:val="21"/>
          <w:szCs w:val="21"/>
          <w:highlight w:val="none"/>
          <w:lang w:val="en-US"/>
        </w:rPr>
        <w:t xml:space="preserve">技术部分</w:t>
      </w:r>
      <w:r>
        <w:rPr>
          <w:rFonts w:hint="eastAsia" w:ascii="宋体" w:hAnsi="宋体" w:eastAsia="宋体" w:cs="宋体"/>
          <w:b/>
          <w:bCs/>
          <w:sz w:val="21"/>
          <w:szCs w:val="21"/>
          <w:highlight w:val="none"/>
        </w:rPr>
        <w:t xml:space="preserve">偏离表</w:t>
      </w:r>
      <w:r/>
    </w:p>
    <w:p>
      <w:pPr>
        <w:jc w:val="center"/>
        <w:spacing w:before="120" w:after="360" w:line="360" w:lineRule="auto"/>
        <w:rPr>
          <w:rFonts w:hint="eastAsia" w:ascii="宋体" w:hAnsi="宋体" w:eastAsia="宋体" w:cs="宋体"/>
          <w:b/>
          <w:bCs/>
          <w:spacing w:val="20"/>
          <w:sz w:val="21"/>
          <w:szCs w:val="21"/>
          <w:highlight w:val="none"/>
        </w:rPr>
      </w:pPr>
      <w:r>
        <w:rPr>
          <w:rFonts w:hint="eastAsia" w:ascii="宋体" w:hAnsi="宋体" w:eastAsia="宋体" w:cs="宋体"/>
          <w:b/>
          <w:bCs/>
          <w:spacing w:val="20"/>
          <w:sz w:val="21"/>
          <w:szCs w:val="21"/>
          <w:highlight w:val="none"/>
        </w:rPr>
        <w:t xml:space="preserve">技术部分偏离表</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项目名称：                                             </w:t>
      </w:r>
      <w:r/>
    </w:p>
    <w:p>
      <w:pPr>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招标编号：</w:t>
      </w:r>
      <w:r/>
    </w:p>
    <w:tbl>
      <w:tblPr>
        <w:tblStyle w:val="790"/>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690"/>
        <w:gridCol w:w="2727"/>
        <w:gridCol w:w="1418"/>
        <w:gridCol w:w="1701"/>
      </w:tblGrid>
      <w:tr>
        <w:trPr>
          <w:cantSplit/>
          <w:trHeight w:val="902"/>
        </w:trPr>
        <w:tc>
          <w:tcPr>
            <w:tcW w:w="828"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序号</w:t>
            </w:r>
            <w:r/>
          </w:p>
        </w:tc>
        <w:tc>
          <w:tcPr>
            <w:tcW w:w="1690"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项目</w:t>
            </w:r>
            <w:r/>
          </w:p>
        </w:tc>
        <w:tc>
          <w:tcPr>
            <w:tcW w:w="2727"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招标文件要求</w:t>
            </w:r>
            <w:r/>
          </w:p>
        </w:tc>
        <w:tc>
          <w:tcPr>
            <w:tcW w:w="1418"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投标文件响应情况</w:t>
            </w:r>
            <w:r/>
          </w:p>
        </w:tc>
        <w:tc>
          <w:tcPr>
            <w:tcW w:w="1701"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偏离说明</w:t>
            </w:r>
            <w:r/>
          </w:p>
        </w:tc>
      </w:tr>
      <w:tr>
        <w:trPr>
          <w:cantSplit/>
          <w:trHeight w:val="680" w:hRule="exact"/>
        </w:trPr>
        <w:tc>
          <w:tcPr>
            <w:tcW w:w="828"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690"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727" w:type="dxa"/>
            <w:vAlign w:val="center"/>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18" w:type="dxa"/>
            <w:vAlign w:val="center"/>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01" w:type="dxa"/>
            <w:vAlign w:val="top"/>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680" w:hRule="exact"/>
        </w:trPr>
        <w:tc>
          <w:tcPr>
            <w:tcW w:w="828"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690"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727" w:type="dxa"/>
            <w:vAlign w:val="center"/>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18" w:type="dxa"/>
            <w:vAlign w:val="center"/>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01" w:type="dxa"/>
            <w:vAlign w:val="top"/>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680" w:hRule="exact"/>
        </w:trPr>
        <w:tc>
          <w:tcPr>
            <w:tcW w:w="828"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690"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727" w:type="dxa"/>
            <w:vAlign w:val="center"/>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18" w:type="dxa"/>
            <w:vAlign w:val="center"/>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01" w:type="dxa"/>
            <w:vAlign w:val="top"/>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680" w:hRule="exact"/>
        </w:trPr>
        <w:tc>
          <w:tcPr>
            <w:tcW w:w="828"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690"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727" w:type="dxa"/>
            <w:vAlign w:val="center"/>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18" w:type="dxa"/>
            <w:vAlign w:val="center"/>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01" w:type="dxa"/>
            <w:vAlign w:val="top"/>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680" w:hRule="exact"/>
        </w:trPr>
        <w:tc>
          <w:tcPr>
            <w:tcW w:w="828"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690"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727" w:type="dxa"/>
            <w:vAlign w:val="center"/>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18" w:type="dxa"/>
            <w:vAlign w:val="center"/>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01" w:type="dxa"/>
            <w:vAlign w:val="top"/>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680" w:hRule="exact"/>
        </w:trPr>
        <w:tc>
          <w:tcPr>
            <w:tcW w:w="828"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690"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727" w:type="dxa"/>
            <w:vAlign w:val="center"/>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18" w:type="dxa"/>
            <w:vAlign w:val="center"/>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01" w:type="dxa"/>
            <w:vAlign w:val="top"/>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680" w:hRule="exact"/>
        </w:trPr>
        <w:tc>
          <w:tcPr>
            <w:tcW w:w="828"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690"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727" w:type="dxa"/>
            <w:vAlign w:val="center"/>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18" w:type="dxa"/>
            <w:vAlign w:val="center"/>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01" w:type="dxa"/>
            <w:vAlign w:val="top"/>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bl>
    <w:p>
      <w:pP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800"/>
        <w:ind w:firstLine="24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投标单位：（公章）</w:t>
      </w:r>
      <w:r/>
    </w:p>
    <w:p>
      <w:pPr>
        <w:pStyle w:val="800"/>
        <w:ind w:firstLine="24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日期：      年    月    日</w:t>
      </w:r>
      <w:r/>
    </w:p>
    <w:p>
      <w:pP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986"/>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注：</w:t>
      </w:r>
      <w:r/>
    </w:p>
    <w:p>
      <w:pPr>
        <w:pStyle w:val="986"/>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1、投标人必须承诺满足招标文件中提出的全部技术规格与要求，如果其中某些条款不响应时，应在偏离表中逐条列出，未列出的视同响应。</w:t>
      </w:r>
      <w:r/>
    </w:p>
    <w:p>
      <w:pPr>
        <w:pStyle w:val="986"/>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2、投标单位提供的材料如有虚假，视为不实质性响应招标文件要求，已中标的取消其中标资格，并按《政府采购货物和服务招标投标管理办法》第七十四条“提供虚假材料谋取中标”相关处理办法处理。</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格式8：商务条款偏离表</w:t>
      </w:r>
      <w:r/>
    </w:p>
    <w:p>
      <w:pPr>
        <w:jc w:val="center"/>
        <w:spacing w:before="120" w:after="360" w:line="360" w:lineRule="auto"/>
        <w:rPr>
          <w:rFonts w:hint="eastAsia" w:ascii="宋体" w:hAnsi="宋体" w:eastAsia="宋体" w:cs="宋体"/>
          <w:b/>
          <w:bCs/>
          <w:spacing w:val="20"/>
          <w:sz w:val="21"/>
          <w:szCs w:val="21"/>
          <w:highlight w:val="none"/>
        </w:rPr>
      </w:pPr>
      <w:r>
        <w:rPr>
          <w:rFonts w:hint="eastAsia" w:ascii="宋体" w:hAnsi="宋体" w:eastAsia="宋体" w:cs="宋体"/>
          <w:b/>
          <w:bCs/>
          <w:spacing w:val="20"/>
          <w:sz w:val="21"/>
          <w:szCs w:val="21"/>
          <w:highlight w:val="none"/>
        </w:rPr>
        <w:t xml:space="preserve">商务条款偏离表</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项目名称：                                             </w:t>
      </w:r>
      <w:r/>
    </w:p>
    <w:p>
      <w:pPr>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招标编号：                        </w:t>
      </w:r>
      <w:r/>
    </w:p>
    <w:tbl>
      <w:tblPr>
        <w:tblStyle w:val="790"/>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690"/>
        <w:gridCol w:w="2155"/>
        <w:gridCol w:w="1559"/>
        <w:gridCol w:w="2127"/>
      </w:tblGrid>
      <w:tr>
        <w:trPr>
          <w:cantSplit/>
          <w:trHeight w:val="902"/>
        </w:trPr>
        <w:tc>
          <w:tcPr>
            <w:tcW w:w="828"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序号</w:t>
            </w:r>
            <w:r/>
          </w:p>
        </w:tc>
        <w:tc>
          <w:tcPr>
            <w:tcW w:w="1690"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名称</w:t>
            </w:r>
            <w:r/>
          </w:p>
        </w:tc>
        <w:tc>
          <w:tcPr>
            <w:tcW w:w="2155"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招标文件商务要求</w:t>
            </w:r>
            <w:r/>
          </w:p>
        </w:tc>
        <w:tc>
          <w:tcPr>
            <w:tcW w:w="1559"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投标文件响应情况</w:t>
            </w:r>
            <w:r/>
          </w:p>
        </w:tc>
        <w:tc>
          <w:tcPr>
            <w:tcW w:w="2127"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说明</w:t>
            </w:r>
            <w:r/>
          </w:p>
        </w:tc>
      </w:tr>
      <w:tr>
        <w:trPr>
          <w:cantSplit/>
          <w:trHeight w:val="680" w:hRule="exact"/>
        </w:trPr>
        <w:tc>
          <w:tcPr>
            <w:tcW w:w="828"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tcW w:w="1690"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合同履行期限</w:t>
            </w:r>
            <w:r/>
          </w:p>
        </w:tc>
        <w:tc>
          <w:tcPr>
            <w:tcW w:w="2155" w:type="dxa"/>
            <w:vAlign w:val="center"/>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559" w:type="dxa"/>
            <w:vAlign w:val="center"/>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127" w:type="dxa"/>
            <w:vAlign w:val="top"/>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680" w:hRule="exact"/>
        </w:trPr>
        <w:tc>
          <w:tcPr>
            <w:tcW w:w="828"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tcW w:w="1690"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付款步骤</w:t>
            </w:r>
            <w:r/>
          </w:p>
        </w:tc>
        <w:tc>
          <w:tcPr>
            <w:tcW w:w="2155" w:type="dxa"/>
            <w:vAlign w:val="center"/>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559" w:type="dxa"/>
            <w:vAlign w:val="center"/>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127" w:type="dxa"/>
            <w:vAlign w:val="top"/>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680" w:hRule="exact"/>
        </w:trPr>
        <w:tc>
          <w:tcPr>
            <w:tcW w:w="828"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p>
        </w:tc>
        <w:tc>
          <w:tcPr>
            <w:tcW w:w="1690"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售后服务</w:t>
            </w:r>
            <w:r/>
          </w:p>
        </w:tc>
        <w:tc>
          <w:tcPr>
            <w:tcW w:w="2155" w:type="dxa"/>
            <w:vAlign w:val="center"/>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559" w:type="dxa"/>
            <w:vAlign w:val="center"/>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127" w:type="dxa"/>
            <w:vAlign w:val="top"/>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680" w:hRule="exact"/>
        </w:trPr>
        <w:tc>
          <w:tcPr>
            <w:tcW w:w="828"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p>
        </w:tc>
        <w:tc>
          <w:tcPr>
            <w:tcW w:w="1690"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p>
        </w:tc>
        <w:tc>
          <w:tcPr>
            <w:tcW w:w="2155" w:type="dxa"/>
            <w:vAlign w:val="center"/>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559" w:type="dxa"/>
            <w:vAlign w:val="center"/>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127" w:type="dxa"/>
            <w:vAlign w:val="top"/>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680" w:hRule="exact"/>
        </w:trPr>
        <w:tc>
          <w:tcPr>
            <w:tcW w:w="828"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690"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155" w:type="dxa"/>
            <w:vAlign w:val="center"/>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559" w:type="dxa"/>
            <w:vAlign w:val="center"/>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127" w:type="dxa"/>
            <w:vAlign w:val="top"/>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680" w:hRule="exact"/>
        </w:trPr>
        <w:tc>
          <w:tcPr>
            <w:tcW w:w="828"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690"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155" w:type="dxa"/>
            <w:vAlign w:val="center"/>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559" w:type="dxa"/>
            <w:vAlign w:val="center"/>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127" w:type="dxa"/>
            <w:vAlign w:val="top"/>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680" w:hRule="exact"/>
        </w:trPr>
        <w:tc>
          <w:tcPr>
            <w:tcW w:w="828"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690"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155" w:type="dxa"/>
            <w:vAlign w:val="center"/>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559" w:type="dxa"/>
            <w:vAlign w:val="center"/>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127" w:type="dxa"/>
            <w:vAlign w:val="top"/>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bl>
    <w:p>
      <w:pP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pStyle w:val="800"/>
        <w:ind w:firstLine="24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投标单位：（公章）</w:t>
      </w:r>
      <w:r/>
    </w:p>
    <w:p>
      <w:pPr>
        <w:pStyle w:val="800"/>
        <w:ind w:firstLine="24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日期：      年    月    日</w:t>
      </w:r>
      <w:r/>
    </w:p>
    <w:p>
      <w:pP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说明：</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1、商务条款内容主要是针对招标文件有关的付款条件、服务期、合同主要条款等内容。</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2、无偏离应在本表“投标文件响应情况”栏注明“无商务条款偏离”的字样。</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86"/>
        <w:ind w:firstLine="0"/>
        <w:spacing w:line="440" w:lineRule="exact"/>
        <w:rPr>
          <w:rFonts w:hint="eastAsia" w:ascii="宋体" w:hAnsi="宋体" w:eastAsia="宋体" w:cs="宋体"/>
          <w:b/>
          <w:sz w:val="21"/>
          <w:szCs w:val="21"/>
          <w:highlight w:val="none"/>
        </w:rPr>
      </w:pPr>
      <w:r>
        <w:rPr>
          <w:rFonts w:hint="eastAsia" w:ascii="宋体" w:hAnsi="宋体" w:eastAsia="宋体" w:cs="宋体"/>
          <w:sz w:val="21"/>
          <w:szCs w:val="21"/>
          <w:highlight w:val="none"/>
        </w:rPr>
        <w:br w:type="page" w:clear="all"/>
      </w:r>
      <w:r>
        <w:rPr>
          <w:rFonts w:hint="eastAsia" w:ascii="宋体" w:hAnsi="宋体" w:eastAsia="宋体" w:cs="宋体"/>
          <w:b/>
          <w:sz w:val="21"/>
          <w:szCs w:val="21"/>
          <w:highlight w:val="none"/>
        </w:rPr>
        <w:t xml:space="preserve">格式9：投标单位情况表</w:t>
      </w:r>
      <w:r/>
    </w:p>
    <w:p>
      <w:pPr>
        <w:pStyle w:val="986"/>
        <w:ind w:left="0" w:firstLine="0"/>
        <w:jc w:val="center"/>
        <w:spacing w:line="440" w:lineRule="exact"/>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投标单位情况表</w:t>
      </w:r>
      <w:r/>
    </w:p>
    <w:p>
      <w:pPr>
        <w:pStyle w:val="986"/>
        <w:ind w:firstLine="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单位名称（盖章）</w:t>
      </w:r>
      <w:r/>
    </w:p>
    <w:tbl>
      <w:tblPr>
        <w:tblStyle w:val="790"/>
        <w:tblW w:w="0" w:type="auto"/>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969"/>
        <w:gridCol w:w="1756"/>
        <w:gridCol w:w="1529"/>
        <w:gridCol w:w="2265"/>
      </w:tblGrid>
      <w:tr>
        <w:trPr>
          <w:cantSplit/>
        </w:trPr>
        <w:tc>
          <w:tcPr>
            <w:tcW w:w="2969" w:type="dxa"/>
            <w:vAlign w:val="top"/>
            <w:textDirection w:val="lrTb"/>
            <w:noWrap w:val="false"/>
          </w:tcPr>
          <w:p>
            <w:pPr>
              <w:pStyle w:val="986"/>
              <w:ind w:firstLine="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法定代表人/负责人</w:t>
            </w:r>
            <w:r/>
          </w:p>
        </w:tc>
        <w:tc>
          <w:tcPr>
            <w:tcW w:w="1756" w:type="dxa"/>
            <w:vAlign w:val="top"/>
            <w:textDirection w:val="lrTb"/>
            <w:noWrap w:val="false"/>
          </w:tcPr>
          <w:p>
            <w:pPr>
              <w:pStyle w:val="986"/>
              <w:ind w:firstLine="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529" w:type="dxa"/>
            <w:vAlign w:val="top"/>
            <w:textDirection w:val="lrTb"/>
            <w:noWrap w:val="false"/>
          </w:tcPr>
          <w:p>
            <w:pPr>
              <w:pStyle w:val="986"/>
              <w:ind w:firstLine="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成立日期</w:t>
            </w:r>
            <w:r/>
          </w:p>
        </w:tc>
        <w:tc>
          <w:tcPr>
            <w:tcW w:w="2265" w:type="dxa"/>
            <w:vAlign w:val="top"/>
            <w:textDirection w:val="lrTb"/>
            <w:noWrap w:val="false"/>
          </w:tcPr>
          <w:p>
            <w:pPr>
              <w:pStyle w:val="986"/>
              <w:ind w:firstLine="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Pr>
        <w:tc>
          <w:tcPr>
            <w:tcW w:w="2969" w:type="dxa"/>
            <w:vAlign w:val="top"/>
            <w:textDirection w:val="lrTb"/>
            <w:noWrap w:val="false"/>
          </w:tcPr>
          <w:p>
            <w:pPr>
              <w:pStyle w:val="986"/>
              <w:ind w:firstLine="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企业地址</w:t>
            </w:r>
            <w:r/>
          </w:p>
        </w:tc>
        <w:tc>
          <w:tcPr>
            <w:tcW w:w="1756" w:type="dxa"/>
            <w:vAlign w:val="top"/>
            <w:textDirection w:val="lrTb"/>
            <w:noWrap w:val="false"/>
          </w:tcPr>
          <w:p>
            <w:pPr>
              <w:pStyle w:val="986"/>
              <w:ind w:firstLine="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529" w:type="dxa"/>
            <w:vAlign w:val="top"/>
            <w:textDirection w:val="lrTb"/>
            <w:noWrap w:val="false"/>
          </w:tcPr>
          <w:p>
            <w:pPr>
              <w:pStyle w:val="986"/>
              <w:ind w:firstLine="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注册资本</w:t>
            </w:r>
            <w:r/>
          </w:p>
        </w:tc>
        <w:tc>
          <w:tcPr>
            <w:tcW w:w="2265" w:type="dxa"/>
            <w:vAlign w:val="top"/>
            <w:textDirection w:val="lrTb"/>
            <w:noWrap w:val="false"/>
          </w:tcPr>
          <w:p>
            <w:pPr>
              <w:pStyle w:val="986"/>
              <w:ind w:firstLine="0"/>
              <w:jc w:val="righ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万元</w:t>
            </w:r>
            <w:r/>
          </w:p>
        </w:tc>
      </w:tr>
      <w:tr>
        <w:trPr>
          <w:cantSplit/>
        </w:trPr>
        <w:tc>
          <w:tcPr>
            <w:tcW w:w="2969" w:type="dxa"/>
            <w:vAlign w:val="center"/>
            <w:textDirection w:val="lrTb"/>
            <w:noWrap w:val="false"/>
          </w:tcPr>
          <w:p>
            <w:pPr>
              <w:pStyle w:val="986"/>
              <w:ind w:firstLine="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生产范围</w:t>
            </w:r>
            <w:r/>
          </w:p>
        </w:tc>
        <w:tc>
          <w:tcPr>
            <w:gridSpan w:val="3"/>
            <w:tcW w:w="5550" w:type="dxa"/>
            <w:vAlign w:val="top"/>
            <w:textDirection w:val="lrTb"/>
            <w:noWrap w:val="false"/>
          </w:tcPr>
          <w:p>
            <w:pPr>
              <w:pStyle w:val="986"/>
              <w:ind w:firstLine="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Pr>
        <w:tc>
          <w:tcPr>
            <w:tcW w:w="2969" w:type="dxa"/>
            <w:vAlign w:val="center"/>
            <w:textDirection w:val="lrTb"/>
            <w:noWrap w:val="false"/>
          </w:tcPr>
          <w:p>
            <w:pPr>
              <w:pStyle w:val="986"/>
              <w:ind w:firstLine="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职工人数</w:t>
            </w:r>
            <w:r/>
          </w:p>
        </w:tc>
        <w:tc>
          <w:tcPr>
            <w:tcW w:w="1756" w:type="dxa"/>
            <w:vAlign w:val="center"/>
            <w:textDirection w:val="lrTb"/>
            <w:noWrap w:val="false"/>
          </w:tcPr>
          <w:p>
            <w:pPr>
              <w:pStyle w:val="986"/>
              <w:ind w:firstLine="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529" w:type="dxa"/>
            <w:vAlign w:val="top"/>
            <w:textDirection w:val="lrTb"/>
            <w:noWrap w:val="false"/>
          </w:tcPr>
          <w:p>
            <w:pPr>
              <w:pStyle w:val="986"/>
              <w:ind w:firstLine="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其中：有中高级以上职称的人数</w:t>
            </w:r>
            <w:r/>
          </w:p>
        </w:tc>
        <w:tc>
          <w:tcPr>
            <w:tcW w:w="2265" w:type="dxa"/>
            <w:vAlign w:val="top"/>
            <w:textDirection w:val="lrTb"/>
            <w:noWrap w:val="false"/>
          </w:tcPr>
          <w:p>
            <w:pPr>
              <w:pStyle w:val="986"/>
              <w:ind w:firstLine="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Pr>
        <w:tc>
          <w:tcPr>
            <w:tcW w:w="2969" w:type="dxa"/>
            <w:vAlign w:val="center"/>
            <w:textDirection w:val="lrTb"/>
            <w:noWrap w:val="false"/>
          </w:tcPr>
          <w:p>
            <w:pPr>
              <w:pStyle w:val="986"/>
              <w:ind w:firstLine="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资产总计</w:t>
            </w:r>
            <w:r/>
          </w:p>
        </w:tc>
        <w:tc>
          <w:tcPr>
            <w:tcW w:w="1756" w:type="dxa"/>
            <w:vAlign w:val="center"/>
            <w:textDirection w:val="lrTb"/>
            <w:noWrap w:val="false"/>
          </w:tcPr>
          <w:p>
            <w:pPr>
              <w:pStyle w:val="986"/>
              <w:ind w:firstLine="0"/>
              <w:jc w:val="cente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万元</w:t>
            </w:r>
            <w:r/>
          </w:p>
        </w:tc>
        <w:tc>
          <w:tcPr>
            <w:tcW w:w="1529" w:type="dxa"/>
            <w:vAlign w:val="center"/>
            <w:textDirection w:val="lrTb"/>
            <w:noWrap w:val="false"/>
          </w:tcPr>
          <w:p>
            <w:pPr>
              <w:pStyle w:val="986"/>
              <w:ind w:firstLine="0"/>
              <w:jc w:val="both"/>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净资产</w:t>
            </w:r>
            <w:r/>
          </w:p>
        </w:tc>
        <w:tc>
          <w:tcPr>
            <w:tcW w:w="2265" w:type="dxa"/>
            <w:vAlign w:val="center"/>
            <w:textDirection w:val="lrTb"/>
            <w:noWrap w:val="false"/>
          </w:tcPr>
          <w:p>
            <w:pPr>
              <w:pStyle w:val="986"/>
              <w:ind w:firstLine="0"/>
              <w:jc w:val="cente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万元</w:t>
            </w:r>
            <w:r/>
          </w:p>
        </w:tc>
      </w:tr>
      <w:tr>
        <w:trPr>
          <w:cantSplit/>
        </w:trPr>
        <w:tc>
          <w:tcPr>
            <w:tcW w:w="2969" w:type="dxa"/>
            <w:vAlign w:val="center"/>
            <w:textDirection w:val="lrTb"/>
            <w:noWrap w:val="false"/>
          </w:tcPr>
          <w:p>
            <w:pPr>
              <w:pStyle w:val="986"/>
              <w:ind w:firstLine="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股东权益</w:t>
            </w:r>
            <w:r/>
          </w:p>
        </w:tc>
        <w:tc>
          <w:tcPr>
            <w:tcW w:w="1756" w:type="dxa"/>
            <w:vAlign w:val="center"/>
            <w:textDirection w:val="lrTb"/>
            <w:noWrap w:val="false"/>
          </w:tcPr>
          <w:p>
            <w:pPr>
              <w:pStyle w:val="986"/>
              <w:ind w:firstLine="0"/>
              <w:jc w:val="cente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万元</w:t>
            </w:r>
            <w:r/>
          </w:p>
        </w:tc>
        <w:tc>
          <w:tcPr>
            <w:tcW w:w="1529" w:type="dxa"/>
            <w:vAlign w:val="center"/>
            <w:textDirection w:val="lrTb"/>
            <w:noWrap w:val="false"/>
          </w:tcPr>
          <w:p>
            <w:pPr>
              <w:pStyle w:val="986"/>
              <w:ind w:firstLine="0"/>
              <w:jc w:val="both"/>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销售收入</w:t>
            </w:r>
            <w:r/>
          </w:p>
        </w:tc>
        <w:tc>
          <w:tcPr>
            <w:tcW w:w="2265" w:type="dxa"/>
            <w:vAlign w:val="center"/>
            <w:textDirection w:val="lrTb"/>
            <w:noWrap w:val="false"/>
          </w:tcPr>
          <w:p>
            <w:pPr>
              <w:pStyle w:val="986"/>
              <w:ind w:firstLine="0"/>
              <w:jc w:val="both"/>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202</w:t>
            </w:r>
            <w:r>
              <w:rPr>
                <w:rFonts w:hint="eastAsia" w:ascii="宋体" w:hAnsi="宋体" w:eastAsia="宋体" w:cs="宋体"/>
                <w:sz w:val="21"/>
                <w:szCs w:val="21"/>
                <w:highlight w:val="none"/>
              </w:rPr>
              <w:t xml:space="preserve">5年      万元</w:t>
            </w:r>
            <w:r/>
          </w:p>
        </w:tc>
      </w:tr>
      <w:tr>
        <w:trPr>
          <w:cantSplit/>
        </w:trPr>
        <w:tc>
          <w:tcPr>
            <w:tcW w:w="2969" w:type="dxa"/>
            <w:vAlign w:val="center"/>
            <w:textDirection w:val="lrTb"/>
            <w:noWrap w:val="false"/>
          </w:tcPr>
          <w:p>
            <w:pPr>
              <w:pStyle w:val="986"/>
              <w:ind w:firstLine="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实现利润</w:t>
            </w:r>
            <w:r/>
          </w:p>
        </w:tc>
        <w:tc>
          <w:tcPr>
            <w:tcW w:w="1756" w:type="dxa"/>
            <w:vAlign w:val="top"/>
            <w:textDirection w:val="lrTb"/>
            <w:noWrap w:val="false"/>
          </w:tcPr>
          <w:p>
            <w:pPr>
              <w:pStyle w:val="986"/>
              <w:ind w:firstLine="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202</w:t>
            </w:r>
            <w:r>
              <w:rPr>
                <w:rFonts w:hint="eastAsia" w:ascii="宋体" w:hAnsi="宋体" w:eastAsia="宋体" w:cs="宋体"/>
                <w:sz w:val="21"/>
                <w:szCs w:val="21"/>
                <w:highlight w:val="none"/>
              </w:rPr>
              <w:t xml:space="preserve">5年  万元</w:t>
            </w:r>
            <w:r/>
          </w:p>
        </w:tc>
        <w:tc>
          <w:tcPr>
            <w:tcW w:w="1529" w:type="dxa"/>
            <w:vAlign w:val="top"/>
            <w:textDirection w:val="lrTb"/>
            <w:noWrap w:val="false"/>
          </w:tcPr>
          <w:p>
            <w:pPr>
              <w:pStyle w:val="986"/>
              <w:ind w:firstLine="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265" w:type="dxa"/>
            <w:vAlign w:val="top"/>
            <w:textDirection w:val="lrTb"/>
            <w:noWrap w:val="false"/>
          </w:tcPr>
          <w:p>
            <w:pPr>
              <w:pStyle w:val="986"/>
              <w:ind w:firstLine="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Pr>
        <w:tc>
          <w:tcPr>
            <w:tcW w:w="2969" w:type="dxa"/>
            <w:vAlign w:val="center"/>
            <w:textDirection w:val="lrTb"/>
            <w:noWrap w:val="false"/>
          </w:tcPr>
          <w:p>
            <w:pPr>
              <w:pStyle w:val="986"/>
              <w:ind w:firstLine="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营业面积</w:t>
            </w:r>
            <w:r/>
          </w:p>
        </w:tc>
        <w:tc>
          <w:tcPr>
            <w:tcW w:w="1756" w:type="dxa"/>
            <w:vAlign w:val="center"/>
            <w:textDirection w:val="lrTb"/>
            <w:noWrap w:val="false"/>
          </w:tcPr>
          <w:p>
            <w:pPr>
              <w:pStyle w:val="986"/>
              <w:ind w:firstLine="0"/>
              <w:jc w:val="both"/>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平方米</w:t>
            </w:r>
            <w:r/>
          </w:p>
        </w:tc>
        <w:tc>
          <w:tcPr>
            <w:tcW w:w="1529" w:type="dxa"/>
            <w:vAlign w:val="center"/>
            <w:textDirection w:val="lrTb"/>
            <w:noWrap w:val="false"/>
          </w:tcPr>
          <w:p>
            <w:pPr>
              <w:pStyle w:val="986"/>
              <w:ind w:firstLine="0"/>
              <w:jc w:val="both"/>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其中：</w:t>
            </w:r>
            <w:r/>
          </w:p>
        </w:tc>
        <w:tc>
          <w:tcPr>
            <w:tcW w:w="2265" w:type="dxa"/>
            <w:vAlign w:val="top"/>
            <w:textDirection w:val="lrTb"/>
            <w:noWrap w:val="false"/>
          </w:tcPr>
          <w:p>
            <w:pPr>
              <w:pStyle w:val="986"/>
              <w:ind w:firstLine="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自有面积   平方米</w:t>
            </w:r>
            <w:r/>
          </w:p>
          <w:p>
            <w:pPr>
              <w:pStyle w:val="986"/>
              <w:ind w:firstLine="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承租面积   平方米</w:t>
            </w:r>
            <w:r/>
          </w:p>
        </w:tc>
      </w:tr>
      <w:tr>
        <w:trPr>
          <w:cantSplit/>
          <w:trHeight w:val="356"/>
        </w:trPr>
        <w:tc>
          <w:tcPr>
            <w:tcW w:w="2969" w:type="dxa"/>
            <w:vAlign w:val="center"/>
            <w:textDirection w:val="lrTb"/>
            <w:noWrap w:val="false"/>
          </w:tcPr>
          <w:p>
            <w:pPr>
              <w:pStyle w:val="986"/>
              <w:ind w:firstLine="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单位简历及内设机构情况</w:t>
            </w:r>
            <w:r/>
          </w:p>
        </w:tc>
        <w:tc>
          <w:tcPr>
            <w:gridSpan w:val="3"/>
            <w:tcW w:w="5550" w:type="dxa"/>
            <w:vAlign w:val="top"/>
            <w:textDirection w:val="lrTb"/>
            <w:noWrap w:val="false"/>
          </w:tcPr>
          <w:p>
            <w:pPr>
              <w:pStyle w:val="986"/>
              <w:ind w:firstLine="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431"/>
        </w:trPr>
        <w:tc>
          <w:tcPr>
            <w:tcW w:w="2969" w:type="dxa"/>
            <w:vAlign w:val="center"/>
            <w:textDirection w:val="lrTb"/>
            <w:noWrap w:val="false"/>
          </w:tcPr>
          <w:p>
            <w:pPr>
              <w:pStyle w:val="986"/>
              <w:ind w:firstLine="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单位优势及特长</w:t>
            </w:r>
            <w:r/>
          </w:p>
        </w:tc>
        <w:tc>
          <w:tcPr>
            <w:gridSpan w:val="3"/>
            <w:tcW w:w="5550" w:type="dxa"/>
            <w:vAlign w:val="top"/>
            <w:textDirection w:val="lrTb"/>
            <w:noWrap w:val="false"/>
          </w:tcPr>
          <w:p>
            <w:pPr>
              <w:pStyle w:val="986"/>
              <w:ind w:firstLine="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Pr>
        <w:tc>
          <w:tcPr>
            <w:tcW w:w="2969" w:type="dxa"/>
            <w:vAlign w:val="top"/>
            <w:textDirection w:val="lrTb"/>
            <w:noWrap w:val="false"/>
          </w:tcPr>
          <w:p>
            <w:pPr>
              <w:pStyle w:val="986"/>
              <w:ind w:firstLine="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近两年来完成或正在履行的重大合同情况</w:t>
            </w:r>
            <w:r/>
          </w:p>
        </w:tc>
        <w:tc>
          <w:tcPr>
            <w:gridSpan w:val="3"/>
            <w:tcW w:w="5550" w:type="dxa"/>
            <w:vAlign w:val="top"/>
            <w:textDirection w:val="lrTb"/>
            <w:noWrap w:val="false"/>
          </w:tcPr>
          <w:p>
            <w:pPr>
              <w:pStyle w:val="986"/>
              <w:ind w:firstLine="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Pr>
        <w:tc>
          <w:tcPr>
            <w:tcW w:w="2969" w:type="dxa"/>
            <w:vAlign w:val="top"/>
            <w:textDirection w:val="lrTb"/>
            <w:noWrap w:val="false"/>
          </w:tcPr>
          <w:p>
            <w:pPr>
              <w:pStyle w:val="986"/>
              <w:ind w:firstLine="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最近2年内在经营过程中受到何种奖励或处分</w:t>
            </w:r>
            <w:r/>
          </w:p>
        </w:tc>
        <w:tc>
          <w:tcPr>
            <w:gridSpan w:val="3"/>
            <w:tcW w:w="5550" w:type="dxa"/>
            <w:vAlign w:val="top"/>
            <w:textDirection w:val="lrTb"/>
            <w:noWrap w:val="false"/>
          </w:tcPr>
          <w:p>
            <w:pPr>
              <w:pStyle w:val="986"/>
              <w:ind w:firstLine="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（包括财政、工商、税务、物价、技监部门稽查情况和结果）</w:t>
            </w:r>
            <w:r/>
          </w:p>
        </w:tc>
      </w:tr>
      <w:tr>
        <w:trPr>
          <w:cantSplit/>
        </w:trPr>
        <w:tc>
          <w:tcPr>
            <w:tcW w:w="2969" w:type="dxa"/>
            <w:vAlign w:val="top"/>
            <w:textDirection w:val="lrTb"/>
            <w:noWrap w:val="false"/>
          </w:tcPr>
          <w:p>
            <w:pPr>
              <w:pStyle w:val="986"/>
              <w:ind w:firstLine="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最近3年内有无因售假、售劣或是其他原因被消费者投诉或起诉的情况及说明</w:t>
            </w:r>
            <w:r/>
          </w:p>
        </w:tc>
        <w:tc>
          <w:tcPr>
            <w:gridSpan w:val="3"/>
            <w:tcW w:w="5550" w:type="dxa"/>
            <w:vAlign w:val="top"/>
            <w:textDirection w:val="lrTb"/>
            <w:noWrap w:val="false"/>
          </w:tcPr>
          <w:p>
            <w:pPr>
              <w:pStyle w:val="986"/>
              <w:ind w:firstLine="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（包括解决方式和结果）</w:t>
            </w:r>
            <w:r/>
          </w:p>
        </w:tc>
      </w:tr>
      <w:tr>
        <w:trPr>
          <w:cantSplit/>
          <w:trHeight w:val="1161"/>
        </w:trPr>
        <w:tc>
          <w:tcPr>
            <w:tcW w:w="2969" w:type="dxa"/>
            <w:vAlign w:val="top"/>
            <w:textDirection w:val="lrTb"/>
            <w:noWrap w:val="false"/>
          </w:tcPr>
          <w:p>
            <w:pPr>
              <w:pStyle w:val="986"/>
              <w:ind w:firstLine="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最近3年内主要负责人有无因经济犯罪被司法机关追究的情况及说明</w:t>
            </w:r>
            <w:r/>
          </w:p>
        </w:tc>
        <w:tc>
          <w:tcPr>
            <w:gridSpan w:val="3"/>
            <w:tcW w:w="5550" w:type="dxa"/>
            <w:vAlign w:val="top"/>
            <w:textDirection w:val="lrTb"/>
            <w:noWrap w:val="false"/>
          </w:tcPr>
          <w:p>
            <w:pPr>
              <w:pStyle w:val="986"/>
              <w:ind w:firstLine="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Pr>
        <w:tc>
          <w:tcPr>
            <w:tcW w:w="2969" w:type="dxa"/>
            <w:vAlign w:val="top"/>
            <w:textDirection w:val="lrTb"/>
            <w:noWrap w:val="false"/>
          </w:tcPr>
          <w:p>
            <w:pPr>
              <w:pStyle w:val="986"/>
              <w:ind w:firstLine="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获得技术认证的工程师及简介</w:t>
            </w:r>
            <w:r/>
          </w:p>
        </w:tc>
        <w:tc>
          <w:tcPr>
            <w:gridSpan w:val="3"/>
            <w:tcW w:w="5550" w:type="dxa"/>
            <w:vAlign w:val="top"/>
            <w:textDirection w:val="lrTb"/>
            <w:noWrap w:val="false"/>
          </w:tcPr>
          <w:p>
            <w:pPr>
              <w:pStyle w:val="986"/>
              <w:ind w:firstLine="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786"/>
        </w:trPr>
        <w:tc>
          <w:tcPr>
            <w:tcW w:w="2969" w:type="dxa"/>
            <w:vAlign w:val="top"/>
            <w:textDirection w:val="lrTb"/>
            <w:noWrap w:val="false"/>
          </w:tcPr>
          <w:p>
            <w:pPr>
              <w:pStyle w:val="986"/>
              <w:ind w:firstLine="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其他需要说明的情况</w:t>
            </w:r>
            <w:r/>
          </w:p>
        </w:tc>
        <w:tc>
          <w:tcPr>
            <w:gridSpan w:val="3"/>
            <w:tcW w:w="5550" w:type="dxa"/>
            <w:vAlign w:val="top"/>
            <w:textDirection w:val="lrTb"/>
            <w:noWrap w:val="false"/>
          </w:tcPr>
          <w:p>
            <w:pPr>
              <w:pStyle w:val="986"/>
              <w:ind w:firstLine="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bl>
    <w:p>
      <w:pPr>
        <w:jc w:val="left"/>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jc w:val="left"/>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jc w:val="left"/>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格式10：类似项目案例一览表</w:t>
      </w:r>
      <w:r/>
    </w:p>
    <w:p>
      <w:pPr>
        <w:pStyle w:val="825"/>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center"/>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类似项目案例一览表</w:t>
      </w:r>
      <w:r/>
    </w:p>
    <w:p>
      <w:pPr>
        <w:pStyle w:val="992"/>
        <w:rPr>
          <w:rFonts w:hint="eastAsia" w:ascii="宋体" w:hAnsi="宋体" w:eastAsia="宋体" w:cs="宋体"/>
          <w:sz w:val="21"/>
          <w:szCs w:val="21"/>
          <w:highlight w:val="none"/>
        </w:rPr>
      </w:pPr>
      <w:r>
        <w:rPr>
          <w:rFonts w:hint="eastAsia" w:ascii="宋体" w:hAnsi="宋体" w:eastAsia="宋体" w:cs="宋体"/>
          <w:sz w:val="21"/>
          <w:szCs w:val="21"/>
          <w:highlight w:val="none"/>
        </w:rPr>
      </w:r>
      <w:r/>
    </w:p>
    <w:tbl>
      <w:tblPr>
        <w:tblStyle w:val="790"/>
        <w:tblW w:w="0" w:type="auto"/>
        <w:tblInd w:w="-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701"/>
        <w:gridCol w:w="1418"/>
        <w:gridCol w:w="1700"/>
        <w:gridCol w:w="1606"/>
        <w:gridCol w:w="1740"/>
        <w:gridCol w:w="907"/>
      </w:tblGrid>
      <w:tr>
        <w:trPr>
          <w:cantSplit/>
          <w:trHeight w:val="740"/>
        </w:trPr>
        <w:tc>
          <w:tcPr>
            <w:tcW w:w="701" w:type="dxa"/>
            <w:vAlign w:val="center"/>
            <w:textDirection w:val="lrTb"/>
            <w:noWrap w:val="false"/>
          </w:tcPr>
          <w:p>
            <w:pPr>
              <w:jc w:val="cente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p>
        </w:tc>
        <w:tc>
          <w:tcPr>
            <w:tcW w:w="1418" w:type="dxa"/>
            <w:vAlign w:val="center"/>
            <w:textDirection w:val="lrTb"/>
            <w:noWrap w:val="false"/>
          </w:tcPr>
          <w:p>
            <w:pPr>
              <w:jc w:val="cente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项目名称</w:t>
            </w:r>
            <w:r/>
          </w:p>
        </w:tc>
        <w:tc>
          <w:tcPr>
            <w:tcW w:w="1700" w:type="dxa"/>
            <w:vAlign w:val="center"/>
            <w:textDirection w:val="lrTb"/>
            <w:noWrap w:val="false"/>
          </w:tcPr>
          <w:p>
            <w:pPr>
              <w:jc w:val="cente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合同期</w:t>
            </w:r>
            <w:r/>
          </w:p>
        </w:tc>
        <w:tc>
          <w:tcPr>
            <w:tcW w:w="1606" w:type="dxa"/>
            <w:vAlign w:val="center"/>
            <w:textDirection w:val="lrTb"/>
            <w:noWrap w:val="false"/>
          </w:tcPr>
          <w:p>
            <w:pPr>
              <w:jc w:val="cente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合同内容</w:t>
            </w:r>
            <w:r/>
          </w:p>
        </w:tc>
        <w:tc>
          <w:tcPr>
            <w:tcW w:w="1740" w:type="dxa"/>
            <w:vAlign w:val="center"/>
            <w:textDirection w:val="lrTb"/>
            <w:noWrap w:val="false"/>
          </w:tcPr>
          <w:p>
            <w:pPr>
              <w:jc w:val="cente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合同金额（万元）</w:t>
            </w:r>
            <w:r/>
          </w:p>
        </w:tc>
        <w:tc>
          <w:tcPr>
            <w:tcW w:w="907" w:type="dxa"/>
            <w:vAlign w:val="center"/>
            <w:textDirection w:val="lrTb"/>
            <w:noWrap w:val="false"/>
          </w:tcPr>
          <w:p>
            <w:pPr>
              <w:jc w:val="cente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备注</w:t>
            </w:r>
            <w:r/>
          </w:p>
        </w:tc>
      </w:tr>
      <w:tr>
        <w:trPr>
          <w:cantSplit/>
          <w:trHeight w:val="510" w:hRule="exact"/>
        </w:trPr>
        <w:tc>
          <w:tcPr>
            <w:tcW w:w="701" w:type="dxa"/>
            <w:vAlign w:val="center"/>
            <w:textDirection w:val="lrTb"/>
            <w:noWrap w:val="false"/>
          </w:tcPr>
          <w:p>
            <w:pPr>
              <w:jc w:val="cente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tcW w:w="1418" w:type="dxa"/>
            <w:vAlign w:val="center"/>
            <w:textDirection w:val="lrTb"/>
            <w:noWrap w:val="false"/>
          </w:tcPr>
          <w:p>
            <w:pPr>
              <w:ind w:left="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00" w:type="dxa"/>
            <w:vAlign w:val="center"/>
            <w:textDirection w:val="lrTb"/>
            <w:noWrap w:val="false"/>
          </w:tcPr>
          <w:p>
            <w:pPr>
              <w:ind w:left="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606" w:type="dxa"/>
            <w:vAlign w:val="center"/>
            <w:textDirection w:val="lrTb"/>
            <w:noWrap w:val="false"/>
          </w:tcPr>
          <w:p>
            <w:pPr>
              <w:ind w:left="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40" w:type="dxa"/>
            <w:vAlign w:val="center"/>
            <w:textDirection w:val="lrTb"/>
            <w:noWrap w:val="false"/>
          </w:tcPr>
          <w:p>
            <w:pPr>
              <w:ind w:left="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07" w:type="dxa"/>
            <w:vAlign w:val="center"/>
            <w:textDirection w:val="lrTb"/>
            <w:noWrap w:val="false"/>
          </w:tcPr>
          <w:p>
            <w:pPr>
              <w:ind w:left="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510" w:hRule="exact"/>
        </w:trPr>
        <w:tc>
          <w:tcPr>
            <w:tcW w:w="701" w:type="dxa"/>
            <w:vAlign w:val="center"/>
            <w:textDirection w:val="lrTb"/>
            <w:noWrap w:val="false"/>
          </w:tcPr>
          <w:p>
            <w:pPr>
              <w:jc w:val="cente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tcW w:w="1418" w:type="dxa"/>
            <w:vAlign w:val="center"/>
            <w:textDirection w:val="lrTb"/>
            <w:noWrap w:val="false"/>
          </w:tcPr>
          <w:p>
            <w:pPr>
              <w:ind w:left="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00" w:type="dxa"/>
            <w:vAlign w:val="center"/>
            <w:textDirection w:val="lrTb"/>
            <w:noWrap w:val="false"/>
          </w:tcPr>
          <w:p>
            <w:pPr>
              <w:ind w:left="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606" w:type="dxa"/>
            <w:vAlign w:val="center"/>
            <w:textDirection w:val="lrTb"/>
            <w:noWrap w:val="false"/>
          </w:tcPr>
          <w:p>
            <w:pPr>
              <w:ind w:left="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40" w:type="dxa"/>
            <w:vAlign w:val="center"/>
            <w:textDirection w:val="lrTb"/>
            <w:noWrap w:val="false"/>
          </w:tcPr>
          <w:p>
            <w:pPr>
              <w:ind w:left="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07" w:type="dxa"/>
            <w:vAlign w:val="center"/>
            <w:textDirection w:val="lrTb"/>
            <w:noWrap w:val="false"/>
          </w:tcPr>
          <w:p>
            <w:pPr>
              <w:ind w:left="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510" w:hRule="exact"/>
        </w:trPr>
        <w:tc>
          <w:tcPr>
            <w:tcW w:w="701" w:type="dxa"/>
            <w:vAlign w:val="center"/>
            <w:textDirection w:val="lrTb"/>
            <w:noWrap w:val="false"/>
          </w:tcPr>
          <w:p>
            <w:pPr>
              <w:jc w:val="cente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p>
        </w:tc>
        <w:tc>
          <w:tcPr>
            <w:tcW w:w="1418" w:type="dxa"/>
            <w:vAlign w:val="center"/>
            <w:textDirection w:val="lrTb"/>
            <w:noWrap w:val="false"/>
          </w:tcPr>
          <w:p>
            <w:pPr>
              <w:ind w:left="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00" w:type="dxa"/>
            <w:vAlign w:val="center"/>
            <w:textDirection w:val="lrTb"/>
            <w:noWrap w:val="false"/>
          </w:tcPr>
          <w:p>
            <w:pPr>
              <w:ind w:left="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606" w:type="dxa"/>
            <w:vAlign w:val="center"/>
            <w:textDirection w:val="lrTb"/>
            <w:noWrap w:val="false"/>
          </w:tcPr>
          <w:p>
            <w:pPr>
              <w:ind w:left="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40" w:type="dxa"/>
            <w:vAlign w:val="center"/>
            <w:textDirection w:val="lrTb"/>
            <w:noWrap w:val="false"/>
          </w:tcPr>
          <w:p>
            <w:pPr>
              <w:ind w:left="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07" w:type="dxa"/>
            <w:vAlign w:val="center"/>
            <w:textDirection w:val="lrTb"/>
            <w:noWrap w:val="false"/>
          </w:tcPr>
          <w:p>
            <w:pPr>
              <w:ind w:left="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510" w:hRule="exact"/>
        </w:trPr>
        <w:tc>
          <w:tcPr>
            <w:tcW w:w="701" w:type="dxa"/>
            <w:vAlign w:val="center"/>
            <w:textDirection w:val="lrTb"/>
            <w:noWrap w:val="false"/>
          </w:tcPr>
          <w:p>
            <w:pPr>
              <w:jc w:val="cente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p>
        </w:tc>
        <w:tc>
          <w:tcPr>
            <w:tcW w:w="1418" w:type="dxa"/>
            <w:vAlign w:val="center"/>
            <w:textDirection w:val="lrTb"/>
            <w:noWrap w:val="false"/>
          </w:tcPr>
          <w:p>
            <w:pPr>
              <w:ind w:left="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00" w:type="dxa"/>
            <w:vAlign w:val="center"/>
            <w:textDirection w:val="lrTb"/>
            <w:noWrap w:val="false"/>
          </w:tcPr>
          <w:p>
            <w:pPr>
              <w:ind w:left="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606" w:type="dxa"/>
            <w:vAlign w:val="center"/>
            <w:textDirection w:val="lrTb"/>
            <w:noWrap w:val="false"/>
          </w:tcPr>
          <w:p>
            <w:pPr>
              <w:ind w:left="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40" w:type="dxa"/>
            <w:vAlign w:val="center"/>
            <w:textDirection w:val="lrTb"/>
            <w:noWrap w:val="false"/>
          </w:tcPr>
          <w:p>
            <w:pPr>
              <w:ind w:left="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07" w:type="dxa"/>
            <w:vAlign w:val="center"/>
            <w:textDirection w:val="lrTb"/>
            <w:noWrap w:val="false"/>
          </w:tcPr>
          <w:p>
            <w:pPr>
              <w:ind w:left="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510" w:hRule="exact"/>
        </w:trPr>
        <w:tc>
          <w:tcPr>
            <w:tcW w:w="701" w:type="dxa"/>
            <w:vAlign w:val="center"/>
            <w:textDirection w:val="lrTb"/>
            <w:noWrap w:val="false"/>
          </w:tcPr>
          <w:p>
            <w:pPr>
              <w:jc w:val="cente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p>
        </w:tc>
        <w:tc>
          <w:tcPr>
            <w:tcW w:w="1418" w:type="dxa"/>
            <w:vAlign w:val="center"/>
            <w:textDirection w:val="lrTb"/>
            <w:noWrap w:val="false"/>
          </w:tcPr>
          <w:p>
            <w:pPr>
              <w:ind w:left="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00" w:type="dxa"/>
            <w:vAlign w:val="center"/>
            <w:textDirection w:val="lrTb"/>
            <w:noWrap w:val="false"/>
          </w:tcPr>
          <w:p>
            <w:pPr>
              <w:ind w:left="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606" w:type="dxa"/>
            <w:vAlign w:val="center"/>
            <w:textDirection w:val="lrTb"/>
            <w:noWrap w:val="false"/>
          </w:tcPr>
          <w:p>
            <w:pPr>
              <w:ind w:left="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40" w:type="dxa"/>
            <w:vAlign w:val="center"/>
            <w:textDirection w:val="lrTb"/>
            <w:noWrap w:val="false"/>
          </w:tcPr>
          <w:p>
            <w:pPr>
              <w:ind w:left="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07" w:type="dxa"/>
            <w:vAlign w:val="center"/>
            <w:textDirection w:val="lrTb"/>
            <w:noWrap w:val="false"/>
          </w:tcPr>
          <w:p>
            <w:pPr>
              <w:ind w:left="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510" w:hRule="exact"/>
        </w:trPr>
        <w:tc>
          <w:tcPr>
            <w:tcW w:w="701" w:type="dxa"/>
            <w:vAlign w:val="center"/>
            <w:textDirection w:val="tbRlV"/>
            <w:noWrap w:val="false"/>
          </w:tcPr>
          <w:p>
            <w:pPr>
              <w:ind w:left="113" w:right="113"/>
              <w:jc w:val="cente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18" w:type="dxa"/>
            <w:vAlign w:val="center"/>
            <w:textDirection w:val="lrTb"/>
            <w:noWrap w:val="false"/>
          </w:tcPr>
          <w:p>
            <w:pPr>
              <w:ind w:left="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00" w:type="dxa"/>
            <w:vAlign w:val="center"/>
            <w:textDirection w:val="lrTb"/>
            <w:noWrap w:val="false"/>
          </w:tcPr>
          <w:p>
            <w:pPr>
              <w:ind w:left="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606" w:type="dxa"/>
            <w:vAlign w:val="center"/>
            <w:textDirection w:val="lrTb"/>
            <w:noWrap w:val="false"/>
          </w:tcPr>
          <w:p>
            <w:pPr>
              <w:ind w:left="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40" w:type="dxa"/>
            <w:vAlign w:val="center"/>
            <w:textDirection w:val="lrTb"/>
            <w:noWrap w:val="false"/>
          </w:tcPr>
          <w:p>
            <w:pPr>
              <w:ind w:left="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07" w:type="dxa"/>
            <w:vAlign w:val="center"/>
            <w:textDirection w:val="lrTb"/>
            <w:noWrap w:val="false"/>
          </w:tcPr>
          <w:p>
            <w:pPr>
              <w:ind w:left="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510" w:hRule="exact"/>
        </w:trPr>
        <w:tc>
          <w:tcPr>
            <w:tcW w:w="701" w:type="dxa"/>
            <w:vAlign w:val="center"/>
            <w:textDirection w:val="lrTb"/>
            <w:noWrap w:val="false"/>
          </w:tcPr>
          <w:p>
            <w:pPr>
              <w:jc w:val="cente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18" w:type="dxa"/>
            <w:vAlign w:val="center"/>
            <w:textDirection w:val="lrTb"/>
            <w:noWrap w:val="false"/>
          </w:tcPr>
          <w:p>
            <w:pPr>
              <w:jc w:val="cente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00" w:type="dxa"/>
            <w:vAlign w:val="center"/>
            <w:textDirection w:val="lrTb"/>
            <w:noWrap w:val="false"/>
          </w:tcPr>
          <w:p>
            <w:pPr>
              <w:jc w:val="cente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606" w:type="dxa"/>
            <w:vAlign w:val="center"/>
            <w:textDirection w:val="lrTb"/>
            <w:noWrap w:val="false"/>
          </w:tcPr>
          <w:p>
            <w:pPr>
              <w:jc w:val="cente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40" w:type="dxa"/>
            <w:vAlign w:val="center"/>
            <w:textDirection w:val="lrTb"/>
            <w:noWrap w:val="false"/>
          </w:tcPr>
          <w:p>
            <w:pPr>
              <w:jc w:val="cente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07" w:type="dxa"/>
            <w:vAlign w:val="center"/>
            <w:textDirection w:val="lrTb"/>
            <w:noWrap w:val="false"/>
          </w:tcPr>
          <w:p>
            <w:pPr>
              <w:jc w:val="cente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510" w:hRule="exact"/>
        </w:trPr>
        <w:tc>
          <w:tcPr>
            <w:tcW w:w="701" w:type="dxa"/>
            <w:vAlign w:val="center"/>
            <w:textDirection w:val="lrTb"/>
            <w:noWrap w:val="false"/>
          </w:tcPr>
          <w:p>
            <w:pPr>
              <w:jc w:val="cente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18" w:type="dxa"/>
            <w:vAlign w:val="center"/>
            <w:textDirection w:val="lrTb"/>
            <w:noWrap w:val="false"/>
          </w:tcPr>
          <w:p>
            <w:pPr>
              <w:jc w:val="cente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00" w:type="dxa"/>
            <w:vAlign w:val="center"/>
            <w:textDirection w:val="lrTb"/>
            <w:noWrap w:val="false"/>
          </w:tcPr>
          <w:p>
            <w:pPr>
              <w:jc w:val="cente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606" w:type="dxa"/>
            <w:vAlign w:val="center"/>
            <w:textDirection w:val="lrTb"/>
            <w:noWrap w:val="false"/>
          </w:tcPr>
          <w:p>
            <w:pPr>
              <w:jc w:val="cente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40" w:type="dxa"/>
            <w:vAlign w:val="center"/>
            <w:textDirection w:val="lrTb"/>
            <w:noWrap w:val="false"/>
          </w:tcPr>
          <w:p>
            <w:pPr>
              <w:jc w:val="cente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07" w:type="dxa"/>
            <w:vAlign w:val="center"/>
            <w:textDirection w:val="lrTb"/>
            <w:noWrap w:val="false"/>
          </w:tcPr>
          <w:p>
            <w:pPr>
              <w:jc w:val="cente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bl>
    <w:p>
      <w:pPr>
        <w:jc w:val="cente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pStyle w:val="800"/>
        <w:ind w:firstLine="24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投标单位：（公章）</w:t>
      </w:r>
      <w:r/>
    </w:p>
    <w:p>
      <w:pPr>
        <w:pStyle w:val="800"/>
        <w:ind w:firstLine="24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日期：      年    月    日</w:t>
      </w:r>
      <w:r/>
    </w:p>
    <w:p>
      <w:pP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spacing w:line="360" w:lineRule="auto"/>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说明：</w:t>
      </w:r>
      <w:r>
        <w:rPr>
          <w:rFonts w:hint="eastAsia" w:ascii="宋体" w:hAnsi="宋体" w:eastAsia="宋体" w:cs="宋体"/>
          <w:sz w:val="21"/>
          <w:szCs w:val="21"/>
          <w:highlight w:val="none"/>
        </w:rPr>
        <w:t xml:space="preserve">以上内容必须是真实的，否则一经查实，按相关规定处理。</w:t>
      </w:r>
      <w:r/>
    </w:p>
    <w:p>
      <w:pPr>
        <w:pStyle w:val="986"/>
        <w:ind w:firstLine="0"/>
        <w:jc w:val="both"/>
        <w:spacing w:line="44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pStyle w:val="986"/>
        <w:ind w:firstLine="0"/>
        <w:jc w:val="both"/>
        <w:spacing w:line="44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pStyle w:val="986"/>
        <w:ind w:firstLine="0"/>
        <w:jc w:val="both"/>
        <w:spacing w:line="44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pStyle w:val="986"/>
        <w:ind w:firstLine="0"/>
        <w:jc w:val="both"/>
        <w:spacing w:line="44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pStyle w:val="986"/>
        <w:ind w:firstLine="0"/>
        <w:jc w:val="both"/>
        <w:spacing w:line="44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pStyle w:val="986"/>
        <w:ind w:firstLine="0"/>
        <w:jc w:val="both"/>
        <w:spacing w:line="44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pStyle w:val="986"/>
        <w:ind w:firstLine="0"/>
        <w:jc w:val="both"/>
        <w:spacing w:line="44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pStyle w:val="986"/>
        <w:ind w:firstLine="0"/>
        <w:jc w:val="both"/>
        <w:spacing w:line="44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pStyle w:val="986"/>
        <w:ind w:firstLine="0"/>
        <w:jc w:val="both"/>
        <w:spacing w:line="44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pStyle w:val="986"/>
        <w:ind w:firstLine="0"/>
        <w:jc w:val="both"/>
        <w:spacing w:line="44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pStyle w:val="986"/>
        <w:ind w:firstLine="0"/>
        <w:jc w:val="both"/>
        <w:spacing w:line="44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jc w:val="left"/>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lang w:val="zh-CN"/>
        </w:rPr>
        <w:t xml:space="preserve">格式1</w:t>
      </w:r>
      <w:r>
        <w:rPr>
          <w:rFonts w:hint="eastAsia" w:ascii="宋体" w:hAnsi="宋体" w:eastAsia="宋体" w:cs="宋体"/>
          <w:b/>
          <w:sz w:val="21"/>
          <w:szCs w:val="21"/>
          <w:highlight w:val="none"/>
        </w:rPr>
        <w:t xml:space="preserve">1</w:t>
      </w:r>
      <w:r>
        <w:rPr>
          <w:rFonts w:hint="eastAsia" w:ascii="宋体" w:hAnsi="宋体" w:cs="宋体"/>
          <w:b/>
          <w:sz w:val="21"/>
          <w:szCs w:val="21"/>
          <w:highlight w:val="none"/>
          <w:lang w:eastAsia="zh-CN"/>
        </w:rPr>
        <w:t xml:space="preserve">：</w:t>
      </w:r>
      <w:r>
        <w:rPr>
          <w:rFonts w:hint="eastAsia" w:ascii="宋体" w:hAnsi="宋体" w:eastAsia="宋体" w:cs="宋体"/>
          <w:b/>
          <w:sz w:val="21"/>
          <w:szCs w:val="21"/>
          <w:highlight w:val="none"/>
          <w:lang w:val="zh-CN"/>
        </w:rPr>
        <w:t xml:space="preserve">资格证明文件</w:t>
      </w:r>
      <w:r/>
    </w:p>
    <w:p>
      <w:pPr>
        <w:jc w:val="center"/>
        <w:spacing w:line="400" w:lineRule="exact"/>
        <w:rPr>
          <w:rFonts w:hint="eastAsia" w:ascii="宋体" w:hAnsi="宋体" w:eastAsia="宋体" w:cs="宋体"/>
          <w:b/>
          <w:bCs/>
          <w:sz w:val="21"/>
          <w:szCs w:val="21"/>
          <w:highlight w:val="none"/>
          <w:lang w:val="zh-CN"/>
        </w:rPr>
      </w:pPr>
      <w:r>
        <w:rPr>
          <w:rFonts w:hint="eastAsia" w:ascii="宋体" w:hAnsi="宋体" w:eastAsia="宋体" w:cs="宋体"/>
          <w:b/>
          <w:bCs/>
          <w:sz w:val="21"/>
          <w:szCs w:val="21"/>
          <w:highlight w:val="none"/>
          <w:lang w:val="zh-CN"/>
        </w:rPr>
        <w:t xml:space="preserve">关于资格文件的声明函</w:t>
      </w:r>
      <w:r/>
    </w:p>
    <w:p>
      <w:pPr>
        <w:ind w:firstLine="425"/>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zh-CN"/>
        </w:rPr>
        <w:t xml:space="preserve"> </w:t>
      </w:r>
      <w:r>
        <w:rPr>
          <w:rFonts w:hint="eastAsia" w:ascii="宋体" w:hAnsi="宋体" w:eastAsia="宋体" w:cs="宋体"/>
          <w:sz w:val="21"/>
          <w:szCs w:val="21"/>
          <w:highlight w:val="none"/>
          <w:u w:val="single"/>
          <w:lang w:val="zh-CN"/>
        </w:rPr>
        <w:t xml:space="preserve">                                    </w:t>
      </w:r>
      <w:r>
        <w:rPr>
          <w:rFonts w:hint="eastAsia" w:ascii="宋体" w:hAnsi="宋体" w:eastAsia="宋体" w:cs="宋体"/>
          <w:sz w:val="21"/>
          <w:szCs w:val="21"/>
          <w:highlight w:val="none"/>
          <w:lang w:val="zh-CN"/>
        </w:rPr>
        <w:t xml:space="preserve">：</w:t>
      </w:r>
      <w:r/>
    </w:p>
    <w:p>
      <w:pPr>
        <w:ind w:firstLine="658"/>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zh-CN"/>
        </w:rPr>
        <w:t xml:space="preserve">本公司愿就由贵公司组织实施的编号为</w:t>
      </w:r>
      <w:r>
        <w:rPr>
          <w:rFonts w:hint="eastAsia" w:ascii="宋体" w:hAnsi="宋体" w:eastAsia="宋体" w:cs="宋体"/>
          <w:sz w:val="21"/>
          <w:szCs w:val="21"/>
          <w:highlight w:val="none"/>
          <w:u w:val="single"/>
          <w:lang w:val="zh-CN"/>
        </w:rPr>
        <w:t xml:space="preserve">              </w:t>
      </w:r>
      <w:r>
        <w:rPr>
          <w:rFonts w:hint="eastAsia" w:ascii="宋体" w:hAnsi="宋体" w:eastAsia="宋体" w:cs="宋体"/>
          <w:sz w:val="21"/>
          <w:szCs w:val="21"/>
          <w:highlight w:val="none"/>
          <w:lang w:val="zh-CN"/>
        </w:rPr>
        <w:t xml:space="preserve">号的招标活动进行投标。本公司所提交的投标文件中所有关于投标资格的文件、证明和陈述均是真实的、准确的。若与真实情况不符，本公司愿意承担由此而产生的一切后果。本公司愿意提供招标文件中要求的所有资料，本公司承诺我单位符合招标文件投标单位须知要求中“合格投标单位的一般条件”的资格要求。</w:t>
      </w:r>
      <w:r/>
    </w:p>
    <w:p>
      <w:pPr>
        <w:ind w:firstLine="425"/>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5"/>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5"/>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left="1700" w:firstLine="842"/>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zh-CN"/>
        </w:rPr>
        <w:t xml:space="preserve">     投标单位：（公章）</w:t>
      </w:r>
      <w:r/>
    </w:p>
    <w:p>
      <w:pPr>
        <w:ind w:firstLine="3240"/>
        <w:spacing w:line="44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日    期：     年</w:t>
      </w:r>
      <w:r>
        <w:rPr>
          <w:rFonts w:hint="eastAsia" w:ascii="宋体" w:hAnsi="宋体" w:eastAsia="宋体" w:cs="宋体"/>
          <w:sz w:val="21"/>
          <w:szCs w:val="21"/>
          <w:highlight w:val="none"/>
        </w:rPr>
        <w:tab/>
      </w:r>
      <w:r>
        <w:rPr>
          <w:rFonts w:hint="eastAsia" w:ascii="宋体" w:hAnsi="宋体" w:eastAsia="宋体" w:cs="宋体"/>
          <w:sz w:val="21"/>
          <w:szCs w:val="21"/>
          <w:highlight w:val="none"/>
          <w:lang w:val="zh-CN"/>
        </w:rPr>
        <w:t xml:space="preserve">   月 </w:t>
      </w:r>
      <w:r>
        <w:rPr>
          <w:rFonts w:hint="eastAsia" w:ascii="宋体" w:hAnsi="宋体" w:eastAsia="宋体" w:cs="宋体"/>
          <w:sz w:val="21"/>
          <w:szCs w:val="21"/>
          <w:highlight w:val="none"/>
          <w:lang w:val="zh-CN"/>
        </w:rPr>
        <w:tab/>
      </w:r>
      <w:r>
        <w:rPr>
          <w:rFonts w:hint="eastAsia" w:ascii="宋体" w:hAnsi="宋体" w:eastAsia="宋体" w:cs="宋体"/>
          <w:sz w:val="21"/>
          <w:szCs w:val="21"/>
          <w:highlight w:val="none"/>
          <w:lang w:val="zh-CN"/>
        </w:rPr>
        <w:t xml:space="preserve">  日</w:t>
      </w:r>
      <w:r/>
    </w:p>
    <w:p>
      <w:pPr>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zh-CN"/>
        </w:rPr>
        <w:br w:type="page" w:clear="all"/>
      </w:r>
      <w:r>
        <w:rPr>
          <w:rFonts w:hint="eastAsia" w:ascii="宋体" w:hAnsi="宋体" w:eastAsia="宋体" w:cs="宋体"/>
          <w:b/>
          <w:sz w:val="21"/>
          <w:szCs w:val="21"/>
          <w:highlight w:val="none"/>
          <w:lang w:val="zh-CN"/>
        </w:rPr>
        <w:t xml:space="preserve">格式12</w:t>
      </w:r>
      <w:r>
        <w:rPr>
          <w:rFonts w:hint="eastAsia" w:ascii="宋体" w:hAnsi="宋体" w:cs="宋体"/>
          <w:b/>
          <w:sz w:val="21"/>
          <w:szCs w:val="21"/>
          <w:highlight w:val="none"/>
          <w:lang w:val="zh-CN"/>
        </w:rPr>
        <w:t xml:space="preserve">：</w:t>
      </w:r>
      <w:r>
        <w:rPr>
          <w:rFonts w:hint="eastAsia" w:ascii="宋体" w:hAnsi="宋体" w:eastAsia="宋体" w:cs="宋体"/>
          <w:b/>
          <w:sz w:val="21"/>
          <w:szCs w:val="21"/>
          <w:highlight w:val="none"/>
          <w:lang w:val="zh-CN"/>
        </w:rPr>
        <w:t xml:space="preserve">中小企业声明</w:t>
      </w:r>
      <w:r>
        <w:rPr>
          <w:rFonts w:hint="eastAsia" w:ascii="宋体" w:hAnsi="宋体" w:eastAsia="宋体" w:cs="宋体"/>
          <w:b/>
          <w:sz w:val="21"/>
          <w:szCs w:val="21"/>
          <w:highlight w:val="none"/>
        </w:rPr>
        <w:t xml:space="preserve">函</w:t>
      </w:r>
      <w:r/>
    </w:p>
    <w:p>
      <w:pPr>
        <w:jc w:val="center"/>
        <w:spacing w:line="400" w:lineRule="exact"/>
        <w:rPr>
          <w:rFonts w:hint="eastAsia" w:ascii="宋体" w:hAnsi="宋体" w:eastAsia="宋体" w:cs="宋体"/>
          <w:b/>
          <w:bCs/>
          <w:sz w:val="21"/>
          <w:szCs w:val="21"/>
          <w:highlight w:val="none"/>
          <w:lang w:val="zh-CN"/>
        </w:rPr>
      </w:pPr>
      <w:r>
        <w:rPr>
          <w:rFonts w:hint="eastAsia" w:ascii="宋体" w:hAnsi="宋体" w:eastAsia="宋体" w:cs="宋体"/>
          <w:b/>
          <w:bCs/>
          <w:sz w:val="21"/>
          <w:szCs w:val="21"/>
          <w:highlight w:val="none"/>
          <w:lang w:val="zh-CN"/>
        </w:rPr>
      </w:r>
      <w:r/>
    </w:p>
    <w:p>
      <w:pPr>
        <w:jc w:val="center"/>
        <w:spacing w:before="191" w:line="225" w:lineRule="auto"/>
        <w:rPr>
          <w:rFonts w:hint="eastAsia" w:ascii="宋体" w:hAnsi="宋体" w:eastAsia="宋体" w:cs="宋体"/>
          <w:i w:val="0"/>
          <w:iCs w:val="0"/>
          <w:sz w:val="21"/>
          <w:szCs w:val="21"/>
          <w:highlight w:val="none"/>
        </w:rPr>
      </w:pPr>
      <w:r>
        <w:rPr>
          <w:rFonts w:hint="eastAsia" w:ascii="宋体" w:hAnsi="宋体" w:eastAsia="宋体" w:cs="宋体"/>
          <w:b/>
          <w:bCs/>
          <w:i w:val="0"/>
          <w:iCs w:val="0"/>
          <w:spacing w:val="2"/>
          <w:sz w:val="21"/>
          <w:szCs w:val="21"/>
          <w:highlight w:val="none"/>
        </w:rPr>
        <w:t xml:space="preserve">中小企业声明函（货物）</w:t>
      </w:r>
      <w:r/>
    </w:p>
    <w:p>
      <w:pPr>
        <w:pStyle w:val="992"/>
        <w:ind w:left="36" w:right="230" w:firstLine="640"/>
        <w:jc w:val="left"/>
        <w:spacing w:before="101" w:line="306" w:lineRule="auto"/>
        <w:rPr>
          <w:rFonts w:hint="eastAsia" w:ascii="宋体" w:hAnsi="宋体" w:eastAsia="宋体" w:cs="宋体"/>
          <w:i w:val="0"/>
          <w:iCs w:val="0"/>
          <w:sz w:val="21"/>
          <w:szCs w:val="21"/>
          <w:highlight w:val="none"/>
        </w:rPr>
      </w:pPr>
      <w:r>
        <w:rPr>
          <w:rFonts w:hint="eastAsia" w:ascii="宋体" w:hAnsi="宋体" w:eastAsia="宋体" w:cs="宋体"/>
          <w:i w:val="0"/>
          <w:iCs w:val="0"/>
          <w:spacing w:val="8"/>
          <w:sz w:val="21"/>
          <w:szCs w:val="21"/>
          <w:highlight w:val="none"/>
        </w:rPr>
        <w:t xml:space="preserve">本公司郑重声明，根据《政府采购促进中小</w:t>
      </w:r>
      <w:r>
        <w:rPr>
          <w:rFonts w:hint="eastAsia" w:ascii="宋体" w:hAnsi="宋体" w:eastAsia="宋体" w:cs="宋体"/>
          <w:i w:val="0"/>
          <w:iCs w:val="0"/>
          <w:spacing w:val="4"/>
          <w:sz w:val="21"/>
          <w:szCs w:val="21"/>
          <w:highlight w:val="none"/>
        </w:rPr>
        <w:t xml:space="preserve">企业发展管理办法》（财库﹝2020﹞46</w:t>
      </w:r>
      <w:r>
        <w:rPr>
          <w:rFonts w:hint="eastAsia" w:ascii="宋体" w:hAnsi="宋体" w:eastAsia="宋体" w:cs="宋体"/>
          <w:i w:val="0"/>
          <w:iCs w:val="0"/>
          <w:spacing w:val="-44"/>
          <w:sz w:val="21"/>
          <w:szCs w:val="21"/>
          <w:highlight w:val="none"/>
        </w:rPr>
        <w:t xml:space="preserve"> </w:t>
      </w:r>
      <w:r>
        <w:rPr>
          <w:rFonts w:hint="eastAsia" w:ascii="宋体" w:hAnsi="宋体" w:eastAsia="宋体" w:cs="宋体"/>
          <w:i w:val="0"/>
          <w:iCs w:val="0"/>
          <w:spacing w:val="4"/>
          <w:sz w:val="21"/>
          <w:szCs w:val="21"/>
          <w:highlight w:val="none"/>
        </w:rPr>
        <w:t xml:space="preserve">号）的规</w:t>
      </w:r>
      <w:r>
        <w:rPr>
          <w:rFonts w:hint="eastAsia" w:ascii="宋体" w:hAnsi="宋体" w:eastAsia="宋体" w:cs="宋体"/>
          <w:i w:val="0"/>
          <w:iCs w:val="0"/>
          <w:spacing w:val="3"/>
          <w:sz w:val="21"/>
          <w:szCs w:val="21"/>
          <w:highlight w:val="none"/>
        </w:rPr>
        <w:t xml:space="preserve">定，本公司</w:t>
      </w:r>
      <w:r>
        <w:rPr>
          <w:rFonts w:hint="eastAsia" w:ascii="宋体" w:hAnsi="宋体" w:eastAsia="宋体" w:cs="宋体"/>
          <w:i w:val="0"/>
          <w:iCs w:val="0"/>
          <w:spacing w:val="-1"/>
          <w:sz w:val="21"/>
          <w:szCs w:val="21"/>
          <w:highlight w:val="none"/>
        </w:rPr>
        <w:t xml:space="preserve">参加</w:t>
      </w:r>
      <w:r>
        <w:rPr>
          <w:rFonts w:hint="eastAsia" w:ascii="宋体" w:hAnsi="宋体" w:eastAsia="宋体" w:cs="宋体"/>
          <w:i w:val="0"/>
          <w:iCs w:val="0"/>
          <w:spacing w:val="-1"/>
          <w:sz w:val="21"/>
          <w:szCs w:val="21"/>
          <w:highlight w:val="none"/>
          <w:u w:val="single"/>
        </w:rPr>
        <w:t xml:space="preserve">（单位名称）</w:t>
      </w:r>
      <w:r>
        <w:rPr>
          <w:rFonts w:hint="eastAsia" w:ascii="宋体" w:hAnsi="宋体" w:eastAsia="宋体" w:cs="宋体"/>
          <w:i w:val="0"/>
          <w:iCs w:val="0"/>
          <w:spacing w:val="-1"/>
          <w:sz w:val="21"/>
          <w:szCs w:val="21"/>
          <w:highlight w:val="none"/>
        </w:rPr>
        <w:t xml:space="preserve">的</w:t>
      </w:r>
      <w:r>
        <w:rPr>
          <w:rFonts w:hint="eastAsia" w:ascii="宋体" w:hAnsi="宋体" w:eastAsia="宋体" w:cs="宋体"/>
          <w:i w:val="0"/>
          <w:iCs w:val="0"/>
          <w:spacing w:val="-1"/>
          <w:sz w:val="21"/>
          <w:szCs w:val="21"/>
          <w:highlight w:val="none"/>
          <w:u w:val="single"/>
        </w:rPr>
        <w:t xml:space="preserve">（项目名称）</w:t>
      </w:r>
      <w:r>
        <w:rPr>
          <w:rFonts w:hint="eastAsia" w:ascii="宋体" w:hAnsi="宋体" w:eastAsia="宋体" w:cs="宋体"/>
          <w:i w:val="0"/>
          <w:iCs w:val="0"/>
          <w:spacing w:val="-1"/>
          <w:sz w:val="21"/>
          <w:szCs w:val="21"/>
          <w:highlight w:val="none"/>
        </w:rPr>
        <w:t xml:space="preserve">采购活动，提</w:t>
      </w:r>
      <w:r>
        <w:rPr>
          <w:rFonts w:hint="eastAsia" w:ascii="宋体" w:hAnsi="宋体" w:eastAsia="宋体" w:cs="宋体"/>
          <w:i w:val="0"/>
          <w:iCs w:val="0"/>
          <w:spacing w:val="21"/>
          <w:sz w:val="21"/>
          <w:szCs w:val="21"/>
          <w:highlight w:val="none"/>
        </w:rPr>
        <w:t xml:space="preserve">供的货物全部由符合政策要求的中小企业制造。相关企业</w:t>
      </w:r>
      <w:r>
        <w:rPr>
          <w:rFonts w:hint="eastAsia" w:ascii="宋体" w:hAnsi="宋体" w:eastAsia="宋体" w:cs="宋体"/>
          <w:i w:val="0"/>
          <w:iCs w:val="0"/>
          <w:spacing w:val="3"/>
          <w:sz w:val="21"/>
          <w:szCs w:val="21"/>
          <w:highlight w:val="none"/>
        </w:rPr>
        <w:t xml:space="preserve">的具体情况如下：</w:t>
      </w:r>
      <w:r/>
    </w:p>
    <w:p>
      <w:pPr>
        <w:pStyle w:val="992"/>
        <w:numPr>
          <w:ilvl w:val="0"/>
          <w:numId w:val="10"/>
        </w:numPr>
        <w:ind w:left="20" w:firstLine="648"/>
        <w:jc w:val="left"/>
        <w:spacing w:before="129" w:line="360" w:lineRule="auto"/>
        <w:rPr>
          <w:rFonts w:hint="eastAsia" w:ascii="宋体" w:hAnsi="宋体" w:eastAsia="宋体" w:cs="宋体"/>
          <w:i w:val="0"/>
          <w:iCs w:val="0"/>
          <w:spacing w:val="-1"/>
          <w:sz w:val="21"/>
          <w:szCs w:val="21"/>
          <w:highlight w:val="none"/>
        </w:rPr>
      </w:pPr>
      <w:r>
        <w:rPr>
          <w:rFonts w:hint="eastAsia" w:ascii="宋体" w:hAnsi="宋体" w:eastAsia="宋体" w:cs="宋体"/>
          <w:i w:val="0"/>
          <w:iCs w:val="0"/>
          <w:spacing w:val="-6"/>
          <w:sz w:val="21"/>
          <w:szCs w:val="21"/>
          <w:highlight w:val="none"/>
          <w:u w:val="single"/>
        </w:rPr>
        <w:t xml:space="preserve">（标的名称</w:t>
      </w:r>
      <w:r>
        <w:rPr>
          <w:rFonts w:hint="eastAsia" w:ascii="宋体" w:hAnsi="宋体" w:eastAsia="宋体" w:cs="宋体"/>
          <w:i w:val="0"/>
          <w:iCs w:val="0"/>
          <w:spacing w:val="3"/>
          <w:sz w:val="21"/>
          <w:szCs w:val="21"/>
          <w:highlight w:val="none"/>
          <w:u w:val="single"/>
        </w:rPr>
        <w:t xml:space="preserve">）</w:t>
      </w:r>
      <w:r>
        <w:rPr>
          <w:rFonts w:hint="eastAsia" w:ascii="宋体" w:hAnsi="宋体" w:eastAsia="宋体" w:cs="宋体"/>
          <w:i w:val="0"/>
          <w:iCs w:val="0"/>
          <w:spacing w:val="3"/>
          <w:sz w:val="21"/>
          <w:szCs w:val="21"/>
          <w:highlight w:val="none"/>
        </w:rPr>
        <w:t xml:space="preserve">，</w:t>
      </w:r>
      <w:r>
        <w:rPr>
          <w:rFonts w:hint="eastAsia" w:ascii="宋体" w:hAnsi="宋体" w:eastAsia="宋体" w:cs="宋体"/>
          <w:i w:val="0"/>
          <w:iCs w:val="0"/>
          <w:spacing w:val="-6"/>
          <w:sz w:val="21"/>
          <w:szCs w:val="21"/>
          <w:highlight w:val="none"/>
        </w:rPr>
        <w:t xml:space="preserve">属于</w:t>
      </w:r>
      <w:r>
        <w:rPr>
          <w:rFonts w:hint="eastAsia" w:ascii="宋体" w:hAnsi="宋体" w:eastAsia="宋体" w:cs="宋体"/>
          <w:i w:val="0"/>
          <w:iCs w:val="0"/>
          <w:spacing w:val="-6"/>
          <w:sz w:val="21"/>
          <w:szCs w:val="21"/>
          <w:highlight w:val="none"/>
          <w:u w:val="single"/>
          <w:lang w:val="en-US" w:eastAsia="zh-CN"/>
        </w:rPr>
        <w:t xml:space="preserve">工</w:t>
      </w:r>
      <w:r>
        <w:rPr>
          <w:rFonts w:hint="eastAsia" w:ascii="宋体" w:hAnsi="宋体" w:eastAsia="宋体" w:cs="宋体"/>
          <w:i w:val="0"/>
          <w:iCs w:val="0"/>
          <w:spacing w:val="9"/>
          <w:sz w:val="21"/>
          <w:szCs w:val="21"/>
          <w:highlight w:val="none"/>
          <w:u w:val="single"/>
        </w:rPr>
        <w:t xml:space="preserve">业</w:t>
      </w:r>
      <w:r>
        <w:rPr>
          <w:rFonts w:hint="eastAsia" w:ascii="宋体" w:hAnsi="宋体" w:eastAsia="宋体" w:cs="宋体"/>
          <w:i w:val="0"/>
          <w:iCs w:val="0"/>
          <w:spacing w:val="9"/>
          <w:sz w:val="21"/>
          <w:szCs w:val="21"/>
          <w:highlight w:val="none"/>
        </w:rPr>
        <w:t xml:space="preserve">；制造商为</w:t>
      </w:r>
      <w:r>
        <w:rPr>
          <w:rFonts w:hint="eastAsia" w:ascii="宋体" w:hAnsi="宋体" w:eastAsia="宋体" w:cs="宋体"/>
          <w:i w:val="0"/>
          <w:iCs w:val="0"/>
          <w:spacing w:val="9"/>
          <w:sz w:val="21"/>
          <w:szCs w:val="21"/>
          <w:highlight w:val="none"/>
          <w:u w:val="single"/>
        </w:rPr>
        <w:t xml:space="preserve">（企业名称），</w:t>
      </w:r>
      <w:r>
        <w:rPr>
          <w:rFonts w:hint="eastAsia" w:ascii="宋体" w:hAnsi="宋体" w:eastAsia="宋体" w:cs="宋体"/>
          <w:i w:val="0"/>
          <w:iCs w:val="0"/>
          <w:spacing w:val="9"/>
          <w:sz w:val="21"/>
          <w:szCs w:val="21"/>
          <w:highlight w:val="none"/>
        </w:rPr>
        <w:t xml:space="preserve">从业人员</w:t>
      </w:r>
      <w:r>
        <w:rPr>
          <w:rFonts w:hint="eastAsia" w:ascii="宋体" w:hAnsi="宋体" w:eastAsia="宋体" w:cs="宋体"/>
          <w:i w:val="0"/>
          <w:iCs w:val="0"/>
          <w:spacing w:val="-150"/>
          <w:sz w:val="21"/>
          <w:szCs w:val="21"/>
          <w:highlight w:val="none"/>
        </w:rPr>
        <w:t xml:space="preserve"> </w:t>
      </w:r>
      <w:r>
        <w:rPr>
          <w:rFonts w:hint="eastAsia" w:ascii="宋体" w:hAnsi="宋体" w:eastAsia="宋体" w:cs="宋体"/>
          <w:i w:val="0"/>
          <w:iCs w:val="0"/>
          <w:spacing w:val="10"/>
          <w:sz w:val="21"/>
          <w:szCs w:val="21"/>
          <w:highlight w:val="none"/>
          <w:u w:val="single"/>
        </w:rPr>
        <w:t xml:space="preserve">      </w:t>
      </w:r>
      <w:r>
        <w:rPr>
          <w:rFonts w:hint="eastAsia" w:ascii="宋体" w:hAnsi="宋体" w:eastAsia="宋体" w:cs="宋体"/>
          <w:i w:val="0"/>
          <w:iCs w:val="0"/>
          <w:spacing w:val="-127"/>
          <w:sz w:val="21"/>
          <w:szCs w:val="21"/>
          <w:highlight w:val="none"/>
        </w:rPr>
        <w:t xml:space="preserve"> </w:t>
      </w:r>
      <w:r>
        <w:rPr>
          <w:rFonts w:hint="eastAsia" w:ascii="宋体" w:hAnsi="宋体" w:eastAsia="宋体" w:cs="宋体"/>
          <w:i w:val="0"/>
          <w:iCs w:val="0"/>
          <w:spacing w:val="9"/>
          <w:sz w:val="21"/>
          <w:szCs w:val="21"/>
          <w:highlight w:val="none"/>
        </w:rPr>
        <w:t xml:space="preserve">人，营业收</w:t>
      </w:r>
      <w:r>
        <w:rPr>
          <w:rFonts w:hint="eastAsia" w:ascii="宋体" w:hAnsi="宋体" w:eastAsia="宋体" w:cs="宋体"/>
          <w:i w:val="0"/>
          <w:iCs w:val="0"/>
          <w:spacing w:val="-1"/>
          <w:sz w:val="21"/>
          <w:szCs w:val="21"/>
          <w:highlight w:val="none"/>
        </w:rPr>
        <w:t xml:space="preserve">入为</w:t>
      </w:r>
      <w:r>
        <w:rPr>
          <w:rFonts w:hint="eastAsia" w:ascii="宋体" w:hAnsi="宋体" w:eastAsia="宋体" w:cs="宋体"/>
          <w:i w:val="0"/>
          <w:iCs w:val="0"/>
          <w:spacing w:val="-153"/>
          <w:sz w:val="21"/>
          <w:szCs w:val="21"/>
          <w:highlight w:val="none"/>
        </w:rPr>
        <w:t xml:space="preserve"> </w:t>
      </w:r>
      <w:r>
        <w:rPr>
          <w:rFonts w:hint="eastAsia" w:ascii="宋体" w:hAnsi="宋体" w:eastAsia="宋体" w:cs="宋体"/>
          <w:i w:val="0"/>
          <w:iCs w:val="0"/>
          <w:spacing w:val="4"/>
          <w:sz w:val="21"/>
          <w:szCs w:val="21"/>
          <w:highlight w:val="none"/>
          <w:u w:val="single"/>
        </w:rPr>
        <w:t xml:space="preserve">    </w:t>
      </w:r>
      <w:r>
        <w:rPr>
          <w:rFonts w:hint="eastAsia" w:ascii="宋体" w:hAnsi="宋体" w:eastAsia="宋体" w:cs="宋体"/>
          <w:i w:val="0"/>
          <w:iCs w:val="0"/>
          <w:spacing w:val="-129"/>
          <w:sz w:val="21"/>
          <w:szCs w:val="21"/>
          <w:highlight w:val="none"/>
        </w:rPr>
        <w:t xml:space="preserve"> </w:t>
      </w:r>
      <w:r>
        <w:rPr>
          <w:rFonts w:hint="eastAsia" w:ascii="宋体" w:hAnsi="宋体" w:eastAsia="宋体" w:cs="宋体"/>
          <w:i w:val="0"/>
          <w:iCs w:val="0"/>
          <w:spacing w:val="-1"/>
          <w:sz w:val="21"/>
          <w:szCs w:val="21"/>
          <w:highlight w:val="none"/>
        </w:rPr>
        <w:t xml:space="preserve">万元，资产总额为</w:t>
      </w:r>
      <w:r>
        <w:rPr>
          <w:rFonts w:hint="eastAsia" w:ascii="宋体" w:hAnsi="宋体" w:eastAsia="宋体" w:cs="宋体"/>
          <w:i w:val="0"/>
          <w:iCs w:val="0"/>
          <w:spacing w:val="-154"/>
          <w:sz w:val="21"/>
          <w:szCs w:val="21"/>
          <w:highlight w:val="none"/>
        </w:rPr>
        <w:t xml:space="preserve"> </w:t>
      </w:r>
      <w:r>
        <w:rPr>
          <w:rFonts w:hint="eastAsia" w:ascii="宋体" w:hAnsi="宋体" w:eastAsia="宋体" w:cs="宋体"/>
          <w:i w:val="0"/>
          <w:iCs w:val="0"/>
          <w:spacing w:val="5"/>
          <w:sz w:val="21"/>
          <w:szCs w:val="21"/>
          <w:highlight w:val="none"/>
          <w:u w:val="single"/>
        </w:rPr>
        <w:t xml:space="preserve">    </w:t>
      </w:r>
      <w:r>
        <w:rPr>
          <w:rFonts w:hint="eastAsia" w:ascii="宋体" w:hAnsi="宋体" w:eastAsia="宋体" w:cs="宋体"/>
          <w:i w:val="0"/>
          <w:iCs w:val="0"/>
          <w:spacing w:val="-131"/>
          <w:sz w:val="21"/>
          <w:szCs w:val="21"/>
          <w:highlight w:val="none"/>
        </w:rPr>
        <w:t xml:space="preserve"> </w:t>
      </w:r>
      <w:r>
        <w:rPr>
          <w:rFonts w:hint="eastAsia" w:ascii="宋体" w:hAnsi="宋体" w:eastAsia="宋体" w:cs="宋体"/>
          <w:i w:val="0"/>
          <w:iCs w:val="0"/>
          <w:spacing w:val="-1"/>
          <w:sz w:val="21"/>
          <w:szCs w:val="21"/>
          <w:highlight w:val="none"/>
        </w:rPr>
        <w:t xml:space="preserve">万元</w:t>
      </w:r>
      <w:r>
        <w:rPr>
          <w:rFonts w:hint="eastAsia" w:ascii="宋体" w:hAnsi="宋体" w:eastAsia="宋体" w:cs="宋体"/>
          <w:i w:val="0"/>
          <w:iCs w:val="0"/>
          <w:spacing w:val="-37"/>
          <w:position w:val="16"/>
          <w:sz w:val="21"/>
          <w:szCs w:val="21"/>
          <w:highlight w:val="none"/>
        </w:rPr>
        <w:t xml:space="preserve"> </w:t>
      </w:r>
      <w:r>
        <w:rPr>
          <w:rFonts w:hint="eastAsia" w:ascii="宋体" w:hAnsi="宋体" w:eastAsia="宋体" w:cs="宋体"/>
          <w:i w:val="0"/>
          <w:iCs w:val="0"/>
          <w:spacing w:val="-1"/>
          <w:sz w:val="21"/>
          <w:szCs w:val="21"/>
          <w:highlight w:val="none"/>
        </w:rPr>
        <w:t xml:space="preserve">，属于</w:t>
      </w:r>
      <w:r>
        <w:rPr>
          <w:rFonts w:hint="eastAsia" w:ascii="宋体" w:hAnsi="宋体" w:eastAsia="宋体" w:cs="宋体"/>
          <w:i w:val="0"/>
          <w:iCs w:val="0"/>
          <w:spacing w:val="4"/>
          <w:sz w:val="21"/>
          <w:szCs w:val="21"/>
          <w:highlight w:val="none"/>
          <w:u w:val="single"/>
          <w:lang w:val="en-US" w:eastAsia="zh-CN"/>
        </w:rPr>
        <w:t xml:space="preserve">        </w:t>
      </w:r>
      <w:r>
        <w:rPr>
          <w:rFonts w:hint="eastAsia" w:ascii="宋体" w:hAnsi="宋体" w:eastAsia="宋体" w:cs="宋体"/>
          <w:i w:val="0"/>
          <w:iCs w:val="0"/>
          <w:spacing w:val="-1"/>
          <w:sz w:val="21"/>
          <w:szCs w:val="21"/>
          <w:highlight w:val="none"/>
          <w:u w:val="single"/>
        </w:rPr>
        <w:t xml:space="preserve">（中型企业、小型企业、微型企业）</w:t>
      </w:r>
      <w:r>
        <w:rPr>
          <w:rFonts w:hint="eastAsia" w:ascii="宋体" w:hAnsi="宋体" w:eastAsia="宋体" w:cs="宋体"/>
          <w:i w:val="0"/>
          <w:iCs w:val="0"/>
          <w:spacing w:val="-1"/>
          <w:sz w:val="21"/>
          <w:szCs w:val="21"/>
          <w:highlight w:val="none"/>
        </w:rPr>
        <w:t xml:space="preserve">；</w:t>
      </w:r>
      <w:r/>
    </w:p>
    <w:p>
      <w:pPr>
        <w:pStyle w:val="992"/>
        <w:numPr>
          <w:ilvl w:val="0"/>
          <w:numId w:val="10"/>
        </w:numPr>
        <w:ind w:left="20" w:firstLine="648"/>
        <w:jc w:val="left"/>
        <w:spacing w:before="129" w:line="360" w:lineRule="auto"/>
        <w:rPr>
          <w:rFonts w:hint="eastAsia" w:ascii="宋体" w:hAnsi="宋体" w:eastAsia="宋体" w:cs="宋体"/>
          <w:i w:val="0"/>
          <w:iCs w:val="0"/>
          <w:spacing w:val="-1"/>
          <w:sz w:val="21"/>
          <w:szCs w:val="21"/>
          <w:highlight w:val="none"/>
          <w:u w:val="single"/>
        </w:rPr>
      </w:pPr>
      <w:r>
        <w:rPr>
          <w:rFonts w:hint="eastAsia" w:ascii="宋体" w:hAnsi="宋体" w:eastAsia="宋体" w:cs="宋体"/>
          <w:i w:val="0"/>
          <w:iCs w:val="0"/>
          <w:spacing w:val="-6"/>
          <w:sz w:val="21"/>
          <w:szCs w:val="21"/>
          <w:highlight w:val="none"/>
          <w:u w:val="single"/>
        </w:rPr>
        <w:t xml:space="preserve"> （标的名称</w:t>
      </w:r>
      <w:r>
        <w:rPr>
          <w:rFonts w:hint="eastAsia" w:ascii="宋体" w:hAnsi="宋体" w:eastAsia="宋体" w:cs="宋体"/>
          <w:i w:val="0"/>
          <w:iCs w:val="0"/>
          <w:spacing w:val="10"/>
          <w:sz w:val="21"/>
          <w:szCs w:val="21"/>
          <w:highlight w:val="none"/>
          <w:u w:val="single"/>
        </w:rPr>
        <w:t xml:space="preserve">）</w:t>
      </w:r>
      <w:r>
        <w:rPr>
          <w:rFonts w:hint="eastAsia" w:ascii="宋体" w:hAnsi="宋体" w:eastAsia="宋体" w:cs="宋体"/>
          <w:i w:val="0"/>
          <w:iCs w:val="0"/>
          <w:spacing w:val="10"/>
          <w:sz w:val="21"/>
          <w:szCs w:val="21"/>
          <w:highlight w:val="none"/>
        </w:rPr>
        <w:t xml:space="preserve">，</w:t>
      </w:r>
      <w:r>
        <w:rPr>
          <w:rFonts w:hint="eastAsia" w:ascii="宋体" w:hAnsi="宋体" w:eastAsia="宋体" w:cs="宋体"/>
          <w:i w:val="0"/>
          <w:iCs w:val="0"/>
          <w:spacing w:val="-6"/>
          <w:sz w:val="21"/>
          <w:szCs w:val="21"/>
          <w:highlight w:val="none"/>
        </w:rPr>
        <w:t xml:space="preserve">属于</w:t>
      </w:r>
      <w:r>
        <w:rPr>
          <w:rFonts w:hint="eastAsia" w:ascii="宋体" w:hAnsi="宋体" w:eastAsia="宋体" w:cs="宋体"/>
          <w:i w:val="0"/>
          <w:iCs w:val="0"/>
          <w:spacing w:val="-6"/>
          <w:sz w:val="21"/>
          <w:szCs w:val="21"/>
          <w:highlight w:val="none"/>
          <w:u w:val="single"/>
          <w:lang w:val="en-US" w:eastAsia="zh-CN"/>
        </w:rPr>
        <w:t xml:space="preserve">工</w:t>
      </w:r>
      <w:r>
        <w:rPr>
          <w:rFonts w:hint="eastAsia" w:ascii="宋体" w:hAnsi="宋体" w:eastAsia="宋体" w:cs="宋体"/>
          <w:i w:val="0"/>
          <w:iCs w:val="0"/>
          <w:spacing w:val="9"/>
          <w:sz w:val="21"/>
          <w:szCs w:val="21"/>
          <w:highlight w:val="none"/>
          <w:u w:val="single"/>
        </w:rPr>
        <w:t xml:space="preserve">业</w:t>
      </w:r>
      <w:r>
        <w:rPr>
          <w:rFonts w:hint="eastAsia" w:ascii="宋体" w:hAnsi="宋体" w:eastAsia="宋体" w:cs="宋体"/>
          <w:i w:val="0"/>
          <w:iCs w:val="0"/>
          <w:spacing w:val="9"/>
          <w:sz w:val="21"/>
          <w:szCs w:val="21"/>
          <w:highlight w:val="none"/>
        </w:rPr>
        <w:t xml:space="preserve">；制造商为</w:t>
      </w:r>
      <w:r>
        <w:rPr>
          <w:rFonts w:hint="eastAsia" w:ascii="宋体" w:hAnsi="宋体" w:eastAsia="宋体" w:cs="宋体"/>
          <w:i w:val="0"/>
          <w:iCs w:val="0"/>
          <w:spacing w:val="9"/>
          <w:sz w:val="21"/>
          <w:szCs w:val="21"/>
          <w:highlight w:val="none"/>
          <w:u w:val="single"/>
        </w:rPr>
        <w:t xml:space="preserve">（企业名称）</w:t>
      </w:r>
      <w:r>
        <w:rPr>
          <w:rFonts w:hint="eastAsia" w:ascii="宋体" w:hAnsi="宋体" w:eastAsia="宋体" w:cs="宋体"/>
          <w:i w:val="0"/>
          <w:iCs w:val="0"/>
          <w:spacing w:val="9"/>
          <w:sz w:val="21"/>
          <w:szCs w:val="21"/>
          <w:highlight w:val="none"/>
          <w:lang w:eastAsia="zh-CN"/>
        </w:rPr>
        <w:t xml:space="preserve">，</w:t>
      </w:r>
      <w:r>
        <w:rPr>
          <w:rFonts w:hint="eastAsia" w:ascii="宋体" w:hAnsi="宋体" w:eastAsia="宋体" w:cs="宋体"/>
          <w:i w:val="0"/>
          <w:iCs w:val="0"/>
          <w:spacing w:val="9"/>
          <w:sz w:val="21"/>
          <w:szCs w:val="21"/>
          <w:highlight w:val="none"/>
        </w:rPr>
        <w:t xml:space="preserve">从业人员</w:t>
      </w:r>
      <w:r>
        <w:rPr>
          <w:rFonts w:hint="eastAsia" w:ascii="宋体" w:hAnsi="宋体" w:eastAsia="宋体" w:cs="宋体"/>
          <w:i w:val="0"/>
          <w:iCs w:val="0"/>
          <w:spacing w:val="-145"/>
          <w:sz w:val="21"/>
          <w:szCs w:val="21"/>
          <w:highlight w:val="none"/>
        </w:rPr>
        <w:t xml:space="preserve"> </w:t>
      </w:r>
      <w:r>
        <w:rPr>
          <w:rFonts w:hint="eastAsia" w:ascii="宋体" w:hAnsi="宋体" w:eastAsia="宋体" w:cs="宋体"/>
          <w:i w:val="0"/>
          <w:iCs w:val="0"/>
          <w:spacing w:val="10"/>
          <w:sz w:val="21"/>
          <w:szCs w:val="21"/>
          <w:highlight w:val="none"/>
          <w:u w:val="single"/>
        </w:rPr>
        <w:t xml:space="preserve">    </w:t>
      </w:r>
      <w:r>
        <w:rPr>
          <w:rFonts w:hint="eastAsia" w:ascii="宋体" w:hAnsi="宋体" w:eastAsia="宋体" w:cs="宋体"/>
          <w:i w:val="0"/>
          <w:iCs w:val="0"/>
          <w:spacing w:val="-128"/>
          <w:sz w:val="21"/>
          <w:szCs w:val="21"/>
          <w:highlight w:val="none"/>
        </w:rPr>
        <w:t xml:space="preserve"> </w:t>
      </w:r>
      <w:r>
        <w:rPr>
          <w:rFonts w:hint="eastAsia" w:ascii="宋体" w:hAnsi="宋体" w:eastAsia="宋体" w:cs="宋体"/>
          <w:i w:val="0"/>
          <w:iCs w:val="0"/>
          <w:spacing w:val="9"/>
          <w:sz w:val="21"/>
          <w:szCs w:val="21"/>
          <w:highlight w:val="none"/>
        </w:rPr>
        <w:t xml:space="preserve">人，营业收入</w:t>
      </w:r>
      <w:r>
        <w:rPr>
          <w:rFonts w:hint="eastAsia" w:ascii="宋体" w:hAnsi="宋体" w:eastAsia="宋体" w:cs="宋体"/>
          <w:i w:val="0"/>
          <w:iCs w:val="0"/>
          <w:spacing w:val="4"/>
          <w:sz w:val="21"/>
          <w:szCs w:val="21"/>
          <w:highlight w:val="none"/>
        </w:rPr>
        <w:t xml:space="preserve">为</w:t>
      </w:r>
      <w:r>
        <w:rPr>
          <w:rFonts w:hint="eastAsia" w:ascii="宋体" w:hAnsi="宋体" w:eastAsia="宋体" w:cs="宋体"/>
          <w:i w:val="0"/>
          <w:iCs w:val="0"/>
          <w:spacing w:val="-155"/>
          <w:sz w:val="21"/>
          <w:szCs w:val="21"/>
          <w:highlight w:val="none"/>
        </w:rPr>
        <w:t xml:space="preserve"> </w:t>
      </w:r>
      <w:r>
        <w:rPr>
          <w:rFonts w:hint="eastAsia" w:ascii="宋体" w:hAnsi="宋体" w:eastAsia="宋体" w:cs="宋体"/>
          <w:i w:val="0"/>
          <w:iCs w:val="0"/>
          <w:spacing w:val="5"/>
          <w:sz w:val="21"/>
          <w:szCs w:val="21"/>
          <w:highlight w:val="none"/>
          <w:u w:val="single"/>
        </w:rPr>
        <w:t xml:space="preserve">    </w:t>
      </w:r>
      <w:r>
        <w:rPr>
          <w:rFonts w:hint="eastAsia" w:ascii="宋体" w:hAnsi="宋体" w:eastAsia="宋体" w:cs="宋体"/>
          <w:i w:val="0"/>
          <w:iCs w:val="0"/>
          <w:spacing w:val="-131"/>
          <w:sz w:val="21"/>
          <w:szCs w:val="21"/>
          <w:highlight w:val="none"/>
        </w:rPr>
        <w:t xml:space="preserve"> </w:t>
      </w:r>
      <w:r>
        <w:rPr>
          <w:rFonts w:hint="eastAsia" w:ascii="宋体" w:hAnsi="宋体" w:eastAsia="宋体" w:cs="宋体"/>
          <w:i w:val="0"/>
          <w:iCs w:val="0"/>
          <w:spacing w:val="4"/>
          <w:sz w:val="21"/>
          <w:szCs w:val="21"/>
          <w:highlight w:val="none"/>
        </w:rPr>
        <w:t xml:space="preserve">万元，资产总额为</w:t>
      </w:r>
      <w:r>
        <w:rPr>
          <w:rFonts w:hint="eastAsia" w:ascii="宋体" w:hAnsi="宋体" w:eastAsia="宋体" w:cs="宋体"/>
          <w:i w:val="0"/>
          <w:iCs w:val="0"/>
          <w:spacing w:val="-155"/>
          <w:sz w:val="21"/>
          <w:szCs w:val="21"/>
          <w:highlight w:val="none"/>
        </w:rPr>
        <w:t xml:space="preserve"> </w:t>
      </w:r>
      <w:r>
        <w:rPr>
          <w:rFonts w:hint="eastAsia" w:ascii="宋体" w:hAnsi="宋体" w:eastAsia="宋体" w:cs="宋体"/>
          <w:i w:val="0"/>
          <w:iCs w:val="0"/>
          <w:spacing w:val="5"/>
          <w:sz w:val="21"/>
          <w:szCs w:val="21"/>
          <w:highlight w:val="none"/>
          <w:u w:val="single"/>
        </w:rPr>
        <w:t xml:space="preserve">    </w:t>
      </w:r>
      <w:r>
        <w:rPr>
          <w:rFonts w:hint="eastAsia" w:ascii="宋体" w:hAnsi="宋体" w:eastAsia="宋体" w:cs="宋体"/>
          <w:i w:val="0"/>
          <w:iCs w:val="0"/>
          <w:spacing w:val="-131"/>
          <w:sz w:val="21"/>
          <w:szCs w:val="21"/>
          <w:highlight w:val="none"/>
        </w:rPr>
        <w:t xml:space="preserve"> </w:t>
      </w:r>
      <w:r>
        <w:rPr>
          <w:rFonts w:hint="eastAsia" w:ascii="宋体" w:hAnsi="宋体" w:eastAsia="宋体" w:cs="宋体"/>
          <w:i w:val="0"/>
          <w:iCs w:val="0"/>
          <w:spacing w:val="4"/>
          <w:sz w:val="21"/>
          <w:szCs w:val="21"/>
          <w:highlight w:val="none"/>
        </w:rPr>
        <w:t xml:space="preserve">万元，属于</w:t>
      </w:r>
      <w:r>
        <w:rPr>
          <w:rFonts w:hint="eastAsia" w:ascii="宋体" w:hAnsi="宋体" w:eastAsia="宋体" w:cs="宋体"/>
          <w:i w:val="0"/>
          <w:iCs w:val="0"/>
          <w:spacing w:val="4"/>
          <w:sz w:val="21"/>
          <w:szCs w:val="21"/>
          <w:highlight w:val="none"/>
          <w:u w:val="single"/>
          <w:lang w:val="en-US" w:eastAsia="zh-CN"/>
        </w:rPr>
        <w:t xml:space="preserve">        </w:t>
      </w:r>
      <w:r>
        <w:rPr>
          <w:rFonts w:hint="eastAsia" w:ascii="宋体" w:hAnsi="宋体" w:eastAsia="宋体" w:cs="宋体"/>
          <w:i w:val="0"/>
          <w:iCs w:val="0"/>
          <w:spacing w:val="-1"/>
          <w:sz w:val="21"/>
          <w:szCs w:val="21"/>
          <w:highlight w:val="none"/>
          <w:u w:val="single"/>
        </w:rPr>
        <w:t xml:space="preserve">（中型企业、小型企业、微型企业）；</w:t>
      </w:r>
      <w:r/>
    </w:p>
    <w:p>
      <w:pPr>
        <w:pStyle w:val="992"/>
        <w:ind w:left="688"/>
        <w:spacing w:before="132" w:line="504" w:lineRule="exact"/>
        <w:rPr>
          <w:rFonts w:hint="eastAsia" w:ascii="宋体" w:hAnsi="宋体" w:eastAsia="宋体" w:cs="宋体"/>
          <w:i w:val="0"/>
          <w:iCs w:val="0"/>
          <w:sz w:val="21"/>
          <w:szCs w:val="21"/>
          <w:highlight w:val="none"/>
        </w:rPr>
      </w:pPr>
      <w:r>
        <w:rPr>
          <w:rFonts w:hint="eastAsia" w:ascii="宋体" w:hAnsi="宋体" w:eastAsia="宋体" w:cs="宋体"/>
          <w:i w:val="0"/>
          <w:iCs w:val="0"/>
          <w:spacing w:val="-8"/>
          <w:position w:val="4"/>
          <w:sz w:val="21"/>
          <w:szCs w:val="21"/>
          <w:highlight w:val="none"/>
        </w:rPr>
        <w:t xml:space="preserve">……</w:t>
      </w:r>
      <w:r/>
    </w:p>
    <w:p>
      <w:pPr>
        <w:pStyle w:val="992"/>
        <w:ind w:left="46" w:right="233" w:firstLine="666"/>
        <w:jc w:val="left"/>
        <w:keepLines w:val="0"/>
        <w:keepNext w:val="0"/>
        <w:pageBreakBefore w:val="0"/>
        <w:spacing w:before="18" w:line="309" w:lineRule="auto"/>
        <w:widowControl w:val="off"/>
        <w:rPr>
          <w:rFonts w:hint="eastAsia" w:ascii="宋体" w:hAnsi="宋体" w:eastAsia="宋体" w:cs="宋体"/>
          <w:i w:val="0"/>
          <w:iCs w:val="0"/>
          <w:spacing w:val="7"/>
          <w:sz w:val="21"/>
          <w:szCs w:val="21"/>
          <w:highlight w:val="none"/>
        </w:rPr>
      </w:pPr>
      <w:r>
        <w:rPr>
          <w:rFonts w:hint="eastAsia" w:ascii="宋体" w:hAnsi="宋体" w:eastAsia="宋体" w:cs="宋体"/>
          <w:i w:val="0"/>
          <w:iCs w:val="0"/>
          <w:spacing w:val="7"/>
          <w:sz w:val="21"/>
          <w:szCs w:val="21"/>
          <w:highlight w:val="none"/>
        </w:rPr>
        <w:t xml:space="preserve">以上企业，不属于大企业的分支机构，不存在控股股东为大企业的情形，也不存在与大企业的负责人为同一人的情形。</w:t>
      </w:r>
      <w:r/>
    </w:p>
    <w:p>
      <w:pPr>
        <w:pStyle w:val="992"/>
        <w:ind w:left="46" w:right="233" w:firstLine="666"/>
        <w:jc w:val="left"/>
        <w:keepLines w:val="0"/>
        <w:keepNext w:val="0"/>
        <w:pageBreakBefore w:val="0"/>
        <w:spacing w:before="18" w:line="309" w:lineRule="auto"/>
        <w:widowControl w:val="off"/>
        <w:rPr>
          <w:rFonts w:hint="eastAsia" w:ascii="宋体" w:hAnsi="宋体" w:eastAsia="宋体" w:cs="宋体"/>
          <w:i w:val="0"/>
          <w:iCs w:val="0"/>
          <w:spacing w:val="7"/>
          <w:sz w:val="21"/>
          <w:szCs w:val="21"/>
          <w:highlight w:val="none"/>
        </w:rPr>
      </w:pPr>
      <w:r>
        <w:rPr>
          <w:rFonts w:hint="eastAsia" w:ascii="宋体" w:hAnsi="宋体" w:eastAsia="宋体" w:cs="宋体"/>
          <w:i w:val="0"/>
          <w:iCs w:val="0"/>
          <w:spacing w:val="7"/>
          <w:sz w:val="21"/>
          <w:szCs w:val="21"/>
          <w:highlight w:val="none"/>
        </w:rPr>
        <w:t xml:space="preserve">本企业对上述声明内容的真实性负责。如有虚假，将依法承担相应责任。</w:t>
      </w:r>
      <w:r/>
    </w:p>
    <w:p>
      <w:pPr>
        <w:ind w:firstLine="336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336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企业名称（盖章）： </w:t>
      </w:r>
      <w:r/>
    </w:p>
    <w:p>
      <w:pPr>
        <w:ind w:firstLine="336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日 期： </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ascii="宋体" w:hAnsi="宋体"/>
          <w:color w:val="auto"/>
          <w:sz w:val="21"/>
          <w:szCs w:val="21"/>
          <w:highlight w:val="none"/>
        </w:rPr>
        <w:outlineLvl w:val="0"/>
      </w:pPr>
      <w:r>
        <w:rPr>
          <w:rFonts w:hint="eastAsia" w:ascii="宋体" w:hAnsi="宋体"/>
          <w:b/>
          <w:color w:val="auto"/>
          <w:sz w:val="21"/>
          <w:szCs w:val="21"/>
          <w:highlight w:val="none"/>
        </w:rPr>
        <w:t xml:space="preserve">备注：</w:t>
      </w:r>
      <w:r>
        <w:rPr>
          <w:rFonts w:hint="eastAsia" w:ascii="宋体" w:hAnsi="宋体"/>
          <w:color w:val="auto"/>
          <w:sz w:val="21"/>
          <w:szCs w:val="21"/>
          <w:highlight w:val="none"/>
        </w:rPr>
        <w:t xml:space="preserve">1</w:t>
      </w:r>
      <w:r>
        <w:rPr>
          <w:rFonts w:ascii="宋体" w:hAnsi="宋体"/>
          <w:color w:val="auto"/>
          <w:sz w:val="21"/>
          <w:szCs w:val="21"/>
          <w:highlight w:val="none"/>
        </w:rPr>
        <w:t xml:space="preserve">.</w:t>
      </w:r>
      <w:r>
        <w:rPr>
          <w:rFonts w:hint="eastAsia" w:ascii="宋体" w:hAnsi="宋体"/>
          <w:color w:val="auto"/>
          <w:sz w:val="21"/>
          <w:szCs w:val="21"/>
          <w:highlight w:val="none"/>
        </w:rPr>
        <w:t xml:space="preserve">从业人员、营业收入、资产总额填报上一年度数据，无上一年度数据的新成立企业可不填报。</w:t>
      </w:r>
      <w:r/>
    </w:p>
    <w:p>
      <w:pPr>
        <w:ind w:firstLine="720"/>
        <w:spacing w:line="360" w:lineRule="auto"/>
        <w:rPr>
          <w:rFonts w:ascii="宋体" w:hAnsi="宋体"/>
          <w:color w:val="auto"/>
          <w:sz w:val="21"/>
          <w:szCs w:val="21"/>
          <w:highlight w:val="none"/>
        </w:rPr>
        <w:outlineLvl w:val="0"/>
      </w:pPr>
      <w:r>
        <w:rPr>
          <w:rFonts w:ascii="宋体" w:hAnsi="宋体"/>
          <w:color w:val="auto"/>
          <w:sz w:val="21"/>
          <w:szCs w:val="21"/>
          <w:highlight w:val="none"/>
        </w:rPr>
        <w:t xml:space="preserve">2.</w:t>
      </w:r>
      <w:r>
        <w:rPr>
          <w:rFonts w:hint="eastAsia" w:ascii="宋体" w:hAnsi="宋体"/>
          <w:color w:val="auto"/>
          <w:sz w:val="21"/>
          <w:szCs w:val="21"/>
          <w:highlight w:val="none"/>
        </w:rPr>
        <w:t xml:space="preserve">在服务采购项目中，服务由中小企业承接，即提供服务的人员为中小企业依照《中华人民共和国劳动合同法》订立劳动合同的从业人员。</w:t>
      </w:r>
      <w:r>
        <w:rPr>
          <w:rFonts w:hint="eastAsia" w:ascii="宋体" w:hAnsi="宋体"/>
          <w:b/>
          <w:color w:val="auto"/>
          <w:sz w:val="21"/>
          <w:szCs w:val="21"/>
          <w:highlight w:val="none"/>
        </w:rPr>
        <w:t xml:space="preserve">服务类项目中供应商若使用退休人员，将不享受相应扶持政策。</w:t>
      </w:r>
      <w:r/>
    </w:p>
    <w:p>
      <w:pPr>
        <w:ind w:firstLine="720"/>
        <w:spacing w:line="360" w:lineRule="auto"/>
        <w:rPr>
          <w:rFonts w:ascii="宋体" w:hAnsi="宋体"/>
          <w:color w:val="auto"/>
          <w:sz w:val="21"/>
          <w:szCs w:val="21"/>
          <w:highlight w:val="none"/>
        </w:rPr>
        <w:outlineLvl w:val="0"/>
      </w:pPr>
      <w:r>
        <w:rPr>
          <w:rFonts w:hint="eastAsia" w:ascii="宋体" w:hAnsi="宋体"/>
          <w:color w:val="auto"/>
          <w:sz w:val="21"/>
          <w:szCs w:val="21"/>
          <w:highlight w:val="none"/>
        </w:rPr>
        <w:t xml:space="preserve">3</w:t>
      </w:r>
      <w:r>
        <w:rPr>
          <w:rFonts w:ascii="宋体" w:hAnsi="宋体"/>
          <w:color w:val="auto"/>
          <w:sz w:val="21"/>
          <w:szCs w:val="21"/>
          <w:highlight w:val="none"/>
        </w:rPr>
        <w:t xml:space="preserve">.</w:t>
      </w:r>
      <w:r>
        <w:rPr>
          <w:rFonts w:hint="eastAsia" w:ascii="宋体" w:hAnsi="宋体"/>
          <w:color w:val="auto"/>
          <w:sz w:val="21"/>
          <w:szCs w:val="21"/>
          <w:highlight w:val="none"/>
        </w:rPr>
        <w:t xml:space="preserve">《中小企业声明函》中所填的行业应与本采购标的对应的中小企业划分标准所属行业一致，不一致的不可享受相应政策优惠。</w:t>
      </w:r>
      <w:r>
        <w:rPr>
          <w:rFonts w:hint="eastAsia" w:ascii="宋体" w:hAnsi="宋体"/>
          <w:b/>
          <w:color w:val="auto"/>
          <w:sz w:val="21"/>
          <w:szCs w:val="21"/>
          <w:highlight w:val="none"/>
        </w:rPr>
        <w:t xml:space="preserve">本采购标的对应的中小企业划分标准所属行业，以采购文件中具体规定为准。</w:t>
      </w:r>
      <w:r/>
    </w:p>
    <w:p>
      <w:pPr>
        <w:ind w:firstLine="720"/>
        <w:spacing w:line="360" w:lineRule="auto"/>
        <w:rPr>
          <w:rFonts w:ascii="宋体" w:hAnsi="宋体"/>
          <w:color w:val="auto"/>
          <w:sz w:val="21"/>
          <w:szCs w:val="21"/>
          <w:highlight w:val="none"/>
        </w:rPr>
        <w:outlineLvl w:val="0"/>
      </w:pPr>
      <w:r>
        <w:rPr>
          <w:rFonts w:ascii="宋体" w:hAnsi="宋体"/>
          <w:color w:val="auto"/>
          <w:sz w:val="21"/>
          <w:szCs w:val="21"/>
          <w:highlight w:val="none"/>
        </w:rPr>
        <w:t xml:space="preserve">4.</w:t>
      </w:r>
      <w:r>
        <w:rPr>
          <w:rFonts w:hint="eastAsia" w:ascii="宋体" w:hAnsi="宋体"/>
          <w:b/>
          <w:color w:val="auto"/>
          <w:sz w:val="21"/>
          <w:szCs w:val="21"/>
          <w:highlight w:val="none"/>
        </w:rPr>
        <w:t xml:space="preserve">如未对（中型企业、小型企业、微型企业）进行勾选，视同非中小微企业，不可享受相应扶持政策</w:t>
      </w:r>
      <w:r>
        <w:rPr>
          <w:rFonts w:hint="eastAsia" w:ascii="宋体" w:hAnsi="宋体"/>
          <w:color w:val="auto"/>
          <w:sz w:val="21"/>
          <w:szCs w:val="21"/>
          <w:highlight w:val="none"/>
        </w:rPr>
        <w:t xml:space="preserve">。</w:t>
      </w:r>
      <w:r/>
    </w:p>
    <w:p>
      <w:pPr>
        <w:ind w:firstLine="720"/>
        <w:spacing w:line="360" w:lineRule="auto"/>
        <w:rPr>
          <w:rFonts w:ascii="宋体" w:hAnsi="宋体"/>
          <w:color w:val="auto"/>
          <w:sz w:val="21"/>
          <w:szCs w:val="21"/>
          <w:highlight w:val="none"/>
        </w:rPr>
        <w:outlineLvl w:val="0"/>
      </w:pPr>
      <w:r>
        <w:rPr>
          <w:rFonts w:hint="eastAsia" w:ascii="宋体" w:hAnsi="宋体"/>
          <w:color w:val="auto"/>
          <w:sz w:val="21"/>
          <w:szCs w:val="21"/>
          <w:highlight w:val="none"/>
        </w:rPr>
        <w:t xml:space="preserve">5</w:t>
      </w:r>
      <w:r>
        <w:rPr>
          <w:rFonts w:ascii="宋体" w:hAnsi="宋体"/>
          <w:color w:val="auto"/>
          <w:sz w:val="21"/>
          <w:szCs w:val="21"/>
          <w:highlight w:val="none"/>
        </w:rPr>
        <w:t xml:space="preserve">.中标</w:t>
      </w:r>
      <w:r>
        <w:rPr>
          <w:rFonts w:hint="eastAsia" w:ascii="宋体" w:hAnsi="宋体"/>
          <w:color w:val="auto"/>
          <w:sz w:val="21"/>
          <w:szCs w:val="21"/>
          <w:highlight w:val="none"/>
        </w:rPr>
        <w:t xml:space="preserve">单位为中小企业的，《中小企业声明函》将随</w:t>
      </w:r>
      <w:r>
        <w:rPr>
          <w:rFonts w:ascii="宋体" w:hAnsi="宋体"/>
          <w:color w:val="auto"/>
          <w:sz w:val="21"/>
          <w:szCs w:val="21"/>
          <w:highlight w:val="none"/>
        </w:rPr>
        <w:t xml:space="preserve">中标</w:t>
      </w:r>
      <w:r>
        <w:rPr>
          <w:rFonts w:hint="eastAsia" w:ascii="宋体" w:hAnsi="宋体"/>
          <w:color w:val="auto"/>
          <w:sz w:val="21"/>
          <w:szCs w:val="21"/>
          <w:highlight w:val="none"/>
        </w:rPr>
        <w:t xml:space="preserve">结果同时公告。</w:t>
      </w:r>
      <w:r/>
    </w:p>
    <w:p>
      <w:pPr>
        <w:pStyle w:val="1012"/>
        <w:spacing w:beforeAutospacing="0" w:afterAutospacing="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spacing w:line="360" w:lineRule="auto"/>
        <w:widowControl/>
        <w:rPr>
          <w:rFonts w:hAnsi="宋体"/>
          <w:b/>
          <w:color w:val="auto"/>
          <w:sz w:val="21"/>
          <w:szCs w:val="21"/>
          <w:highlight w:val="none"/>
        </w:rPr>
      </w:pPr>
      <w:r>
        <w:rPr>
          <w:rFonts w:hint="eastAsia" w:hAnsi="宋体"/>
          <w:b/>
          <w:color w:val="auto"/>
          <w:sz w:val="21"/>
          <w:szCs w:val="21"/>
          <w:highlight w:val="none"/>
        </w:rPr>
        <w:t xml:space="preserve">附：中小企业划型标准规定</w:t>
      </w:r>
      <w:r/>
    </w:p>
    <w:p>
      <w:pPr>
        <w:ind w:firstLine="482"/>
        <w:spacing w:line="360" w:lineRule="auto"/>
        <w:widowControl/>
        <w:rPr>
          <w:rFonts w:hAnsi="宋体"/>
          <w:color w:val="auto"/>
          <w:sz w:val="21"/>
          <w:szCs w:val="21"/>
          <w:highlight w:val="none"/>
        </w:rPr>
      </w:pPr>
      <w:r>
        <w:rPr>
          <w:rFonts w:hint="eastAsia" w:hAnsi="宋体"/>
          <w:b/>
          <w:color w:val="auto"/>
          <w:sz w:val="21"/>
          <w:szCs w:val="21"/>
          <w:highlight w:val="none"/>
        </w:rPr>
        <w:t xml:space="preserve">（一）农、林、牧、渔业。</w:t>
      </w:r>
      <w:r>
        <w:rPr>
          <w:rFonts w:hint="eastAsia" w:hAnsi="宋体"/>
          <w:color w:val="auto"/>
          <w:sz w:val="21"/>
          <w:szCs w:val="21"/>
          <w:highlight w:val="none"/>
        </w:rPr>
        <w:t xml:space="preserve">营业收入20000万元以下的为中小微型企业。其中，营业收入500万元及以上的为中型企业，营业收入50万元及以上的为小型企业，营业收入50万元以下的为微型企业。</w:t>
      </w:r>
      <w:r/>
    </w:p>
    <w:p>
      <w:pPr>
        <w:ind w:firstLine="482"/>
        <w:spacing w:line="360" w:lineRule="auto"/>
        <w:widowControl/>
        <w:rPr>
          <w:rFonts w:hAnsi="宋体"/>
          <w:color w:val="auto"/>
          <w:sz w:val="21"/>
          <w:szCs w:val="21"/>
          <w:highlight w:val="none"/>
        </w:rPr>
      </w:pPr>
      <w:r>
        <w:rPr>
          <w:rFonts w:hint="eastAsia" w:hAnsi="宋体"/>
          <w:b/>
          <w:color w:val="auto"/>
          <w:sz w:val="21"/>
          <w:szCs w:val="21"/>
          <w:highlight w:val="none"/>
        </w:rPr>
        <w:t xml:space="preserve">（二）工业。</w:t>
      </w:r>
      <w:r>
        <w:rPr>
          <w:rFonts w:hint="eastAsia" w:hAnsi="宋体"/>
          <w:color w:val="auto"/>
          <w:sz w:val="21"/>
          <w:szCs w:val="21"/>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2"/>
        <w:spacing w:line="360" w:lineRule="auto"/>
        <w:widowControl/>
        <w:rPr>
          <w:rFonts w:hAnsi="宋体"/>
          <w:color w:val="auto"/>
          <w:sz w:val="21"/>
          <w:szCs w:val="21"/>
          <w:highlight w:val="none"/>
        </w:rPr>
      </w:pPr>
      <w:r>
        <w:rPr>
          <w:rFonts w:hint="eastAsia" w:hAnsi="宋体"/>
          <w:b/>
          <w:color w:val="auto"/>
          <w:sz w:val="21"/>
          <w:szCs w:val="21"/>
          <w:highlight w:val="none"/>
        </w:rPr>
        <w:t xml:space="preserve">（三）建筑业。</w:t>
      </w:r>
      <w:r>
        <w:rPr>
          <w:rFonts w:hint="eastAsia" w:hAnsi="宋体"/>
          <w:color w:val="auto"/>
          <w:sz w:val="21"/>
          <w:szCs w:val="21"/>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2"/>
        <w:spacing w:line="360" w:lineRule="auto"/>
        <w:widowControl/>
        <w:rPr>
          <w:rFonts w:hAnsi="宋体"/>
          <w:color w:val="auto"/>
          <w:sz w:val="21"/>
          <w:szCs w:val="21"/>
          <w:highlight w:val="none"/>
        </w:rPr>
      </w:pPr>
      <w:r>
        <w:rPr>
          <w:rFonts w:hint="eastAsia" w:hAnsi="宋体"/>
          <w:b/>
          <w:color w:val="auto"/>
          <w:sz w:val="21"/>
          <w:szCs w:val="21"/>
          <w:highlight w:val="none"/>
        </w:rPr>
        <w:t xml:space="preserve">（四）批发业。</w:t>
      </w:r>
      <w:r>
        <w:rPr>
          <w:rFonts w:hint="eastAsia" w:hAnsi="宋体"/>
          <w:color w:val="auto"/>
          <w:sz w:val="21"/>
          <w:szCs w:val="21"/>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2"/>
        <w:spacing w:line="360" w:lineRule="auto"/>
        <w:widowControl/>
        <w:rPr>
          <w:rFonts w:hAnsi="宋体"/>
          <w:color w:val="auto"/>
          <w:sz w:val="21"/>
          <w:szCs w:val="21"/>
          <w:highlight w:val="none"/>
        </w:rPr>
      </w:pPr>
      <w:r>
        <w:rPr>
          <w:rFonts w:hint="eastAsia" w:hAnsi="宋体"/>
          <w:b/>
          <w:color w:val="auto"/>
          <w:sz w:val="21"/>
          <w:szCs w:val="21"/>
          <w:highlight w:val="none"/>
        </w:rPr>
        <w:t xml:space="preserve">（五）零售业。</w:t>
      </w:r>
      <w:r>
        <w:rPr>
          <w:rFonts w:hint="eastAsia" w:hAnsi="宋体"/>
          <w:color w:val="auto"/>
          <w:sz w:val="21"/>
          <w:szCs w:val="21"/>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2"/>
        <w:spacing w:line="360" w:lineRule="auto"/>
        <w:widowControl/>
        <w:rPr>
          <w:rFonts w:hAnsi="宋体"/>
          <w:color w:val="auto"/>
          <w:sz w:val="21"/>
          <w:szCs w:val="21"/>
          <w:highlight w:val="none"/>
        </w:rPr>
      </w:pPr>
      <w:r>
        <w:rPr>
          <w:rFonts w:hint="eastAsia" w:hAnsi="宋体"/>
          <w:b/>
          <w:color w:val="auto"/>
          <w:sz w:val="21"/>
          <w:szCs w:val="21"/>
          <w:highlight w:val="none"/>
        </w:rPr>
        <w:t xml:space="preserve">（六）交通运输业。</w:t>
      </w:r>
      <w:r>
        <w:rPr>
          <w:rFonts w:hint="eastAsia" w:hAnsi="宋体"/>
          <w:color w:val="auto"/>
          <w:sz w:val="21"/>
          <w:szCs w:val="21"/>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2"/>
        <w:spacing w:line="360" w:lineRule="auto"/>
        <w:widowControl/>
        <w:rPr>
          <w:rFonts w:hAnsi="宋体"/>
          <w:color w:val="auto"/>
          <w:sz w:val="21"/>
          <w:szCs w:val="21"/>
          <w:highlight w:val="none"/>
        </w:rPr>
      </w:pPr>
      <w:r>
        <w:rPr>
          <w:rFonts w:hint="eastAsia" w:hAnsi="宋体"/>
          <w:b/>
          <w:color w:val="auto"/>
          <w:sz w:val="21"/>
          <w:szCs w:val="21"/>
          <w:highlight w:val="none"/>
        </w:rPr>
        <w:t xml:space="preserve">（七）仓储业。</w:t>
      </w:r>
      <w:r>
        <w:rPr>
          <w:rFonts w:hint="eastAsia" w:hAnsi="宋体"/>
          <w:color w:val="auto"/>
          <w:sz w:val="21"/>
          <w:szCs w:val="21"/>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2"/>
        <w:spacing w:line="360" w:lineRule="auto"/>
        <w:widowControl/>
        <w:rPr>
          <w:rFonts w:hAnsi="宋体"/>
          <w:color w:val="auto"/>
          <w:sz w:val="21"/>
          <w:szCs w:val="21"/>
          <w:highlight w:val="none"/>
        </w:rPr>
      </w:pPr>
      <w:r>
        <w:rPr>
          <w:rFonts w:hint="eastAsia" w:hAnsi="宋体"/>
          <w:b/>
          <w:color w:val="auto"/>
          <w:sz w:val="21"/>
          <w:szCs w:val="21"/>
          <w:highlight w:val="none"/>
        </w:rPr>
        <w:t xml:space="preserve">（八）邮政业。</w:t>
      </w:r>
      <w:r>
        <w:rPr>
          <w:rFonts w:hint="eastAsia" w:hAnsi="宋体"/>
          <w:color w:val="auto"/>
          <w:sz w:val="21"/>
          <w:szCs w:val="21"/>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2"/>
        <w:spacing w:line="360" w:lineRule="auto"/>
        <w:widowControl/>
        <w:rPr>
          <w:rFonts w:hAnsi="宋体"/>
          <w:color w:val="auto"/>
          <w:sz w:val="21"/>
          <w:szCs w:val="21"/>
          <w:highlight w:val="none"/>
        </w:rPr>
      </w:pPr>
      <w:r>
        <w:rPr>
          <w:rFonts w:hint="eastAsia" w:hAnsi="宋体"/>
          <w:b/>
          <w:color w:val="auto"/>
          <w:sz w:val="21"/>
          <w:szCs w:val="21"/>
          <w:highlight w:val="none"/>
        </w:rPr>
        <w:t xml:space="preserve">（九）住宿业。</w:t>
      </w:r>
      <w:r>
        <w:rPr>
          <w:rFonts w:hint="eastAsia" w:hAnsi="宋体"/>
          <w:color w:val="auto"/>
          <w:sz w:val="21"/>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widowControl/>
        <w:rPr>
          <w:rFonts w:hAnsi="宋体"/>
          <w:color w:val="auto"/>
          <w:sz w:val="21"/>
          <w:szCs w:val="21"/>
          <w:highlight w:val="none"/>
        </w:rPr>
      </w:pPr>
      <w:r>
        <w:rPr>
          <w:rFonts w:hint="eastAsia" w:hAnsi="宋体"/>
          <w:b/>
          <w:color w:val="auto"/>
          <w:sz w:val="21"/>
          <w:szCs w:val="21"/>
          <w:highlight w:val="none"/>
        </w:rPr>
        <w:t xml:space="preserve">（十）餐饮业。</w:t>
      </w:r>
      <w:r>
        <w:rPr>
          <w:rFonts w:hint="eastAsia" w:hAnsi="宋体"/>
          <w:color w:val="auto"/>
          <w:sz w:val="21"/>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widowControl/>
        <w:rPr>
          <w:rFonts w:hAnsi="宋体"/>
          <w:color w:val="auto"/>
          <w:sz w:val="21"/>
          <w:szCs w:val="21"/>
          <w:highlight w:val="none"/>
        </w:rPr>
      </w:pPr>
      <w:r>
        <w:rPr>
          <w:rFonts w:hint="eastAsia" w:hAnsi="宋体"/>
          <w:b/>
          <w:color w:val="auto"/>
          <w:sz w:val="21"/>
          <w:szCs w:val="21"/>
          <w:highlight w:val="none"/>
        </w:rPr>
        <w:t xml:space="preserve">（十一）信息传输业。</w:t>
      </w:r>
      <w:r>
        <w:rPr>
          <w:rFonts w:hint="eastAsia" w:hAnsi="宋体"/>
          <w:color w:val="auto"/>
          <w:sz w:val="21"/>
          <w:szCs w:val="21"/>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2"/>
        <w:spacing w:line="360" w:lineRule="auto"/>
        <w:widowControl/>
        <w:rPr>
          <w:rFonts w:hAnsi="宋体"/>
          <w:color w:val="auto"/>
          <w:sz w:val="21"/>
          <w:szCs w:val="21"/>
          <w:highlight w:val="none"/>
        </w:rPr>
      </w:pPr>
      <w:r>
        <w:rPr>
          <w:rFonts w:hint="eastAsia" w:hAnsi="宋体"/>
          <w:b/>
          <w:color w:val="auto"/>
          <w:sz w:val="21"/>
          <w:szCs w:val="21"/>
          <w:highlight w:val="none"/>
        </w:rPr>
        <w:t xml:space="preserve">（十二）软件和信息技术服务业。</w:t>
      </w:r>
      <w:r>
        <w:rPr>
          <w:rFonts w:hint="eastAsia" w:hAnsi="宋体"/>
          <w:color w:val="auto"/>
          <w:sz w:val="21"/>
          <w:szCs w:val="21"/>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2"/>
        <w:spacing w:line="360" w:lineRule="auto"/>
        <w:widowControl/>
        <w:rPr>
          <w:rFonts w:hAnsi="宋体"/>
          <w:color w:val="auto"/>
          <w:sz w:val="21"/>
          <w:szCs w:val="21"/>
          <w:highlight w:val="none"/>
        </w:rPr>
      </w:pPr>
      <w:r>
        <w:rPr>
          <w:rFonts w:hint="eastAsia" w:hAnsi="宋体"/>
          <w:b/>
          <w:color w:val="auto"/>
          <w:sz w:val="21"/>
          <w:szCs w:val="21"/>
          <w:highlight w:val="none"/>
        </w:rPr>
        <w:t xml:space="preserve">（十三）房地产开发经营。</w:t>
      </w:r>
      <w:r>
        <w:rPr>
          <w:rFonts w:hint="eastAsia" w:hAnsi="宋体"/>
          <w:color w:val="auto"/>
          <w:sz w:val="21"/>
          <w:szCs w:val="21"/>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2"/>
        <w:spacing w:line="360" w:lineRule="auto"/>
        <w:widowControl/>
        <w:rPr>
          <w:rFonts w:hAnsi="宋体"/>
          <w:color w:val="auto"/>
          <w:sz w:val="21"/>
          <w:szCs w:val="21"/>
          <w:highlight w:val="none"/>
        </w:rPr>
      </w:pPr>
      <w:r>
        <w:rPr>
          <w:rFonts w:hint="eastAsia" w:hAnsi="宋体"/>
          <w:b/>
          <w:color w:val="auto"/>
          <w:sz w:val="21"/>
          <w:szCs w:val="21"/>
          <w:highlight w:val="none"/>
        </w:rPr>
        <w:t xml:space="preserve">（十四）物业管理。</w:t>
      </w:r>
      <w:r>
        <w:rPr>
          <w:rFonts w:hint="eastAsia" w:hAnsi="宋体"/>
          <w:color w:val="auto"/>
          <w:sz w:val="21"/>
          <w:szCs w:val="21"/>
          <w:highlight w:val="none"/>
        </w:rPr>
        <w:t xml:space="preserve">从业人员1000人以下或营业收入5000万元以下的为中小微型企业。其中，从业人员</w:t>
      </w:r>
      <w:r/>
    </w:p>
    <w:p>
      <w:pPr>
        <w:spacing w:line="360" w:lineRule="auto"/>
        <w:widowControl/>
        <w:rPr>
          <w:rFonts w:hAnsi="宋体"/>
          <w:color w:val="auto"/>
          <w:sz w:val="21"/>
          <w:szCs w:val="21"/>
          <w:highlight w:val="none"/>
        </w:rPr>
      </w:pPr>
      <w:r>
        <w:rPr>
          <w:rFonts w:hint="eastAsia" w:hAnsi="宋体"/>
          <w:color w:val="auto"/>
          <w:sz w:val="21"/>
          <w:szCs w:val="21"/>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82"/>
        <w:spacing w:line="360" w:lineRule="auto"/>
        <w:widowControl/>
        <w:rPr>
          <w:rFonts w:hint="eastAsia" w:hAnsi="宋体"/>
          <w:color w:val="auto"/>
          <w:sz w:val="21"/>
          <w:szCs w:val="21"/>
          <w:highlight w:val="none"/>
        </w:rPr>
      </w:pPr>
      <w:r>
        <w:rPr>
          <w:rFonts w:hint="eastAsia" w:hAnsi="宋体"/>
          <w:b/>
          <w:color w:val="auto"/>
          <w:sz w:val="21"/>
          <w:szCs w:val="21"/>
          <w:highlight w:val="none"/>
        </w:rPr>
        <w:t xml:space="preserve">（十五）租赁和商务服务业。</w:t>
      </w:r>
      <w:r>
        <w:rPr>
          <w:rFonts w:hint="eastAsia" w:hAnsi="宋体"/>
          <w:color w:val="auto"/>
          <w:sz w:val="21"/>
          <w:szCs w:val="21"/>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2"/>
        <w:spacing w:line="360" w:lineRule="auto"/>
        <w:widowControl/>
        <w:rPr>
          <w:rFonts w:hint="eastAsia" w:ascii="宋体" w:hAnsi="宋体" w:eastAsia="宋体" w:cs="宋体"/>
          <w:color w:val="000000"/>
          <w:sz w:val="21"/>
          <w:szCs w:val="21"/>
          <w:highlight w:val="none"/>
          <w:lang w:val="zh-CN"/>
        </w:rPr>
      </w:pPr>
      <w:r>
        <w:rPr>
          <w:rFonts w:hint="eastAsia" w:hAnsi="宋体"/>
          <w:b/>
          <w:bCs/>
          <w:color w:val="auto"/>
          <w:sz w:val="21"/>
          <w:szCs w:val="21"/>
          <w:highlight w:val="none"/>
        </w:rPr>
        <w:t xml:space="preserve">（十六）其他未列明行业。</w:t>
      </w:r>
      <w:r>
        <w:rPr>
          <w:rFonts w:hint="eastAsia" w:hAnsi="宋体"/>
          <w:color w:val="auto"/>
          <w:sz w:val="21"/>
          <w:szCs w:val="21"/>
          <w:highlight w:val="none"/>
        </w:rPr>
        <w:t xml:space="preserve">从业人员300人以下的为中小微型企业。其中，从业人员100人及以上的为中型企业；从业人员10人及以上的为小型企业；从业人员10人以下的为微型企业。</w:t>
      </w:r>
      <w:r>
        <w:rPr>
          <w:rFonts w:hint="eastAsia" w:ascii="宋体" w:hAnsi="宋体" w:eastAsia="宋体" w:cs="宋体"/>
          <w:color w:val="000000"/>
          <w:sz w:val="21"/>
          <w:szCs w:val="21"/>
          <w:highlight w:val="none"/>
        </w:rPr>
        <w:br w:type="page" w:clear="all"/>
      </w:r>
      <w:r>
        <w:rPr>
          <w:rFonts w:hint="eastAsia" w:ascii="宋体" w:hAnsi="宋体" w:eastAsia="宋体" w:cs="宋体"/>
          <w:b/>
          <w:sz w:val="21"/>
          <w:szCs w:val="21"/>
          <w:highlight w:val="none"/>
          <w:lang w:val="zh-CN"/>
        </w:rPr>
        <w:t xml:space="preserve">格式13</w:t>
      </w:r>
      <w:r>
        <w:rPr>
          <w:rFonts w:hint="eastAsia" w:ascii="宋体" w:hAnsi="宋体" w:cs="宋体"/>
          <w:b/>
          <w:sz w:val="21"/>
          <w:szCs w:val="21"/>
          <w:highlight w:val="none"/>
          <w:lang w:val="zh-CN"/>
        </w:rPr>
        <w:t xml:space="preserve">：</w:t>
      </w:r>
      <w:r>
        <w:rPr>
          <w:rFonts w:hint="eastAsia" w:ascii="宋体" w:hAnsi="宋体" w:eastAsia="宋体" w:cs="宋体"/>
          <w:b/>
          <w:sz w:val="21"/>
          <w:szCs w:val="21"/>
          <w:highlight w:val="none"/>
          <w:lang w:val="zh-CN"/>
        </w:rPr>
        <w:t xml:space="preserve">残疾人福利性单位声明函（如属）</w:t>
      </w:r>
      <w:r/>
    </w:p>
    <w:p>
      <w:pPr>
        <w:pStyle w:val="1024"/>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center"/>
        <w:rPr>
          <w:rFonts w:hint="eastAsia" w:ascii="宋体" w:hAnsi="宋体" w:eastAsia="宋体" w:cs="宋体"/>
          <w:b/>
          <w:sz w:val="21"/>
          <w:szCs w:val="21"/>
          <w:highlight w:val="none"/>
          <w:lang w:val="zh-CN"/>
        </w:rPr>
      </w:pPr>
      <w:r/>
      <w:bookmarkStart w:id="24" w:name="OLE_LINK14"/>
      <w:r/>
      <w:bookmarkStart w:id="25" w:name="OLE_LINK13"/>
      <w:r>
        <w:rPr>
          <w:rFonts w:hint="eastAsia" w:ascii="宋体" w:hAnsi="宋体" w:eastAsia="宋体" w:cs="宋体"/>
          <w:b/>
          <w:sz w:val="21"/>
          <w:szCs w:val="21"/>
          <w:highlight w:val="none"/>
          <w:lang w:val="zh-CN"/>
        </w:rPr>
        <w:t xml:space="preserve">残疾人福利性单位声明函</w:t>
      </w:r>
      <w:bookmarkEnd w:id="24"/>
      <w:r/>
      <w:bookmarkEnd w:id="25"/>
      <w:r/>
      <w:r/>
    </w:p>
    <w:p>
      <w:pPr>
        <w:ind w:firstLine="480"/>
        <w:spacing w:line="58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本单位对上述声明的真实性负责。如有虚假，将依法承担相应责任。</w:t>
      </w:r>
      <w:r/>
    </w:p>
    <w:p>
      <w:pPr>
        <w:ind w:firstLine="480"/>
        <w:spacing w:line="58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right="1560" w:firstLine="480"/>
        <w:jc w:val="center"/>
        <w:spacing w:line="580" w:lineRule="exact"/>
        <w:tabs>
          <w:tab w:val="left" w:pos="486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单位名称（盖章）：</w:t>
      </w:r>
      <w:r/>
    </w:p>
    <w:p>
      <w:pPr>
        <w:ind w:right="1560" w:firstLine="480"/>
        <w:jc w:val="center"/>
        <w:spacing w:line="580" w:lineRule="exact"/>
        <w:tabs>
          <w:tab w:val="left" w:pos="4860" w:leader="none"/>
        </w:tabs>
        <w:rPr>
          <w:rFonts w:hint="eastAsia" w:ascii="宋体" w:hAnsi="宋体" w:eastAsia="宋体" w:cs="宋体"/>
          <w:b/>
          <w:bCs/>
          <w:sz w:val="21"/>
          <w:szCs w:val="21"/>
          <w:highlight w:val="none"/>
        </w:rPr>
      </w:pPr>
      <w:r>
        <w:rPr>
          <w:rFonts w:hint="eastAsia" w:ascii="宋体" w:hAnsi="宋体" w:eastAsia="宋体" w:cs="宋体"/>
          <w:sz w:val="21"/>
          <w:szCs w:val="21"/>
          <w:highlight w:val="none"/>
        </w:rPr>
        <w:t xml:space="preserve">                 日  期：</w:t>
      </w:r>
      <w:r/>
    </w:p>
    <w:p>
      <w:pP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ind w:firstLine="378"/>
        <w:spacing w:line="360" w:lineRule="auto"/>
        <w:rPr>
          <w:rFonts w:hint="eastAsia" w:ascii="宋体" w:hAnsi="宋体" w:eastAsia="宋体" w:cs="宋体"/>
          <w:spacing w:val="6"/>
          <w:sz w:val="21"/>
          <w:szCs w:val="21"/>
          <w:highlight w:val="none"/>
        </w:rPr>
      </w:pPr>
      <w:r>
        <w:rPr>
          <w:rFonts w:hint="eastAsia" w:ascii="宋体" w:hAnsi="宋体" w:eastAsia="宋体" w:cs="宋体"/>
          <w:spacing w:val="6"/>
          <w:sz w:val="21"/>
          <w:szCs w:val="21"/>
          <w:highlight w:val="none"/>
        </w:rPr>
        <w:t xml:space="preserve">备注：</w:t>
      </w:r>
      <w:r>
        <w:rPr>
          <w:rFonts w:hint="eastAsia" w:ascii="宋体" w:hAnsi="宋体" w:eastAsia="宋体" w:cs="宋体"/>
          <w:spacing w:val="6"/>
          <w:sz w:val="21"/>
          <w:szCs w:val="21"/>
          <w:highlight w:val="none"/>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p>
    <w:p>
      <w:pPr>
        <w:spacing w:line="440" w:lineRule="exact"/>
        <w:rPr>
          <w:rFonts w:hint="eastAsia" w:ascii="宋体" w:hAnsi="宋体" w:eastAsia="宋体" w:cs="宋体"/>
          <w:b/>
          <w:bCs/>
          <w:sz w:val="21"/>
          <w:szCs w:val="21"/>
          <w:highlight w:val="none"/>
          <w:lang w:val="zh-CN"/>
        </w:rPr>
      </w:pPr>
      <w:r>
        <w:rPr>
          <w:rFonts w:hint="eastAsia" w:ascii="宋体" w:hAnsi="宋体" w:eastAsia="宋体" w:cs="宋体"/>
          <w:b/>
          <w:bCs/>
          <w:sz w:val="21"/>
          <w:szCs w:val="21"/>
          <w:highlight w:val="none"/>
          <w:lang w:val="zh-CN"/>
        </w:rPr>
        <w:br w:type="page" w:clear="all"/>
      </w:r>
      <w:r>
        <w:rPr>
          <w:rFonts w:hint="eastAsia" w:ascii="宋体" w:hAnsi="宋体" w:eastAsia="宋体" w:cs="宋体"/>
          <w:b/>
          <w:sz w:val="21"/>
          <w:szCs w:val="21"/>
          <w:highlight w:val="none"/>
        </w:rPr>
        <w:t xml:space="preserve">格式14：</w:t>
      </w:r>
      <w:r>
        <w:rPr>
          <w:rFonts w:hint="eastAsia" w:ascii="宋体" w:hAnsi="宋体" w:eastAsia="宋体" w:cs="宋体"/>
          <w:b/>
          <w:bCs/>
          <w:sz w:val="21"/>
          <w:szCs w:val="21"/>
          <w:highlight w:val="none"/>
          <w:lang w:val="zh-CN"/>
        </w:rPr>
        <w:t xml:space="preserve">监狱企业证明文件（</w:t>
      </w:r>
      <w:r>
        <w:rPr>
          <w:rFonts w:hint="eastAsia" w:ascii="宋体" w:hAnsi="宋体" w:eastAsia="宋体" w:cs="宋体"/>
          <w:b/>
          <w:sz w:val="21"/>
          <w:szCs w:val="21"/>
          <w:highlight w:val="none"/>
          <w:lang w:val="zh-CN"/>
        </w:rPr>
        <w:t xml:space="preserve">如属</w:t>
      </w:r>
      <w:r>
        <w:rPr>
          <w:rFonts w:hint="eastAsia" w:ascii="宋体" w:hAnsi="宋体" w:eastAsia="宋体" w:cs="宋体"/>
          <w:b/>
          <w:bCs/>
          <w:sz w:val="21"/>
          <w:szCs w:val="21"/>
          <w:highlight w:val="none"/>
          <w:lang w:val="zh-CN"/>
        </w:rPr>
        <w:t xml:space="preserve">）</w:t>
      </w:r>
      <w:r/>
    </w:p>
    <w:p>
      <w:pPr>
        <w:spacing w:line="440" w:lineRule="exact"/>
        <w:rPr>
          <w:rFonts w:hint="eastAsia" w:ascii="宋体" w:hAnsi="宋体" w:eastAsia="宋体" w:cs="宋体"/>
          <w:b/>
          <w:bCs/>
          <w:sz w:val="21"/>
          <w:szCs w:val="21"/>
          <w:highlight w:val="none"/>
          <w:lang w:val="zh-CN"/>
        </w:rPr>
      </w:pPr>
      <w:r>
        <w:rPr>
          <w:rFonts w:hint="eastAsia" w:ascii="宋体" w:hAnsi="宋体" w:eastAsia="宋体" w:cs="宋体"/>
          <w:b/>
          <w:bCs/>
          <w:sz w:val="21"/>
          <w:szCs w:val="21"/>
          <w:highlight w:val="none"/>
          <w:lang w:val="zh-CN"/>
        </w:rPr>
      </w:r>
      <w:r/>
    </w:p>
    <w:p>
      <w:pPr>
        <w:jc w:val="center"/>
        <w:spacing w:line="440" w:lineRule="exact"/>
        <w:rPr>
          <w:rFonts w:hint="eastAsia" w:ascii="宋体" w:hAnsi="宋体" w:eastAsia="宋体" w:cs="宋体"/>
          <w:b/>
          <w:bCs/>
          <w:sz w:val="21"/>
          <w:szCs w:val="21"/>
          <w:highlight w:val="none"/>
          <w:lang w:val="zh-CN"/>
        </w:rPr>
      </w:pPr>
      <w:r>
        <w:rPr>
          <w:rFonts w:hint="eastAsia" w:ascii="宋体" w:hAnsi="宋体" w:eastAsia="宋体" w:cs="宋体"/>
          <w:b/>
          <w:bCs/>
          <w:sz w:val="21"/>
          <w:szCs w:val="21"/>
          <w:highlight w:val="none"/>
          <w:lang w:val="zh-CN"/>
        </w:rPr>
        <w:t xml:space="preserve">监狱企业的证明文件</w:t>
      </w:r>
      <w:r/>
    </w:p>
    <w:p>
      <w:pPr>
        <w:pStyle w:val="1012"/>
        <w:ind w:firstLine="480"/>
        <w:spacing w:line="435"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本企业（单位）郑重声明下列事项（按照实际情况勾选或填空）：</w:t>
      </w:r>
      <w:r/>
    </w:p>
    <w:p>
      <w:pPr>
        <w:pStyle w:val="1012"/>
        <w:ind w:firstLine="480"/>
        <w:spacing w:line="435"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本企业（单位）为直接投标单位提供本企业（单位）的服务。</w:t>
      </w:r>
      <w:r/>
    </w:p>
    <w:p>
      <w:pPr>
        <w:pStyle w:val="1012"/>
        <w:ind w:firstLine="480"/>
        <w:spacing w:line="435"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（1）本企业（单位）（请填写：是、不是）监狱企业。后附省级以上监狱管理局、戒毒管理局（含新疆生产建设兵团）出具的属于监狱企业的证明文件。</w:t>
      </w:r>
      <w:r/>
    </w:p>
    <w:p>
      <w:pPr>
        <w:pStyle w:val="1012"/>
        <w:ind w:firstLine="480"/>
        <w:spacing w:line="435"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（2）本企业（单位）（请填写：是、不是）为联合体一方，提供本企业（单位）的服务。本企业（单位）提供协议合同金额占到共同投标协议合同总金额的比例为。</w:t>
      </w:r>
      <w:r/>
    </w:p>
    <w:p>
      <w:pPr>
        <w:pStyle w:val="1012"/>
        <w:ind w:firstLine="480"/>
        <w:spacing w:line="435"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本企业（单位）对上述声明的真实性负责。如有虚假，将依法承担相应责任。</w:t>
      </w:r>
      <w:r/>
    </w:p>
    <w:p>
      <w:pPr>
        <w:pStyle w:val="1012"/>
        <w:ind w:firstLine="480"/>
        <w:spacing w:line="435"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right="1560" w:firstLine="504"/>
        <w:jc w:val="center"/>
        <w:spacing w:line="360" w:lineRule="auto"/>
        <w:tabs>
          <w:tab w:val="left" w:pos="4860" w:leader="none"/>
        </w:tabs>
        <w:rPr>
          <w:rFonts w:hint="eastAsia" w:ascii="宋体" w:hAnsi="宋体" w:eastAsia="宋体" w:cs="宋体"/>
          <w:spacing w:val="6"/>
          <w:sz w:val="21"/>
          <w:szCs w:val="21"/>
          <w:highlight w:val="none"/>
        </w:rPr>
      </w:pPr>
      <w:r>
        <w:rPr>
          <w:rFonts w:hint="eastAsia" w:ascii="宋体" w:hAnsi="宋体" w:eastAsia="宋体" w:cs="宋体"/>
          <w:spacing w:val="6"/>
          <w:sz w:val="21"/>
          <w:szCs w:val="21"/>
          <w:highlight w:val="none"/>
          <w:lang w:bidi="ar"/>
        </w:rPr>
        <w:t xml:space="preserve">                                企业名称（盖章）：</w:t>
      </w:r>
      <w:r/>
    </w:p>
    <w:p>
      <w:pPr>
        <w:ind w:right="1560" w:firstLine="504"/>
        <w:jc w:val="center"/>
        <w:spacing w:line="360" w:lineRule="auto"/>
        <w:tabs>
          <w:tab w:val="left" w:pos="4860" w:leader="none"/>
        </w:tabs>
        <w:rPr>
          <w:rFonts w:hint="eastAsia" w:ascii="宋体" w:hAnsi="宋体" w:eastAsia="宋体" w:cs="宋体"/>
          <w:spacing w:val="6"/>
          <w:sz w:val="21"/>
          <w:szCs w:val="21"/>
          <w:highlight w:val="none"/>
        </w:rPr>
      </w:pPr>
      <w:r>
        <w:rPr>
          <w:rFonts w:hint="eastAsia" w:ascii="宋体" w:hAnsi="宋体" w:eastAsia="宋体" w:cs="宋体"/>
          <w:spacing w:val="6"/>
          <w:sz w:val="21"/>
          <w:szCs w:val="21"/>
          <w:highlight w:val="none"/>
          <w:lang w:bidi="ar"/>
        </w:rPr>
        <w:t xml:space="preserve">                          日  期：</w:t>
      </w:r>
      <w:r/>
    </w:p>
    <w:p>
      <w:pPr>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ind w:firstLine="360"/>
        <w:jc w:val="center"/>
        <w:spacing w:line="360" w:lineRule="auto"/>
        <w:rPr>
          <w:rFonts w:hint="eastAsia" w:ascii="宋体" w:hAnsi="宋体" w:eastAsia="宋体" w:cs="宋体"/>
          <w:b/>
          <w:bCs/>
          <w:spacing w:val="20"/>
          <w:sz w:val="21"/>
          <w:szCs w:val="21"/>
          <w:highlight w:val="none"/>
        </w:rPr>
      </w:pPr>
      <w:r>
        <w:rPr>
          <w:rFonts w:hint="eastAsia" w:ascii="宋体" w:hAnsi="宋体" w:eastAsia="宋体" w:cs="宋体"/>
          <w:b/>
          <w:bCs/>
          <w:spacing w:val="20"/>
          <w:sz w:val="21"/>
          <w:szCs w:val="21"/>
          <w:highlight w:val="none"/>
        </w:rPr>
      </w:r>
      <w:r/>
    </w:p>
    <w:p>
      <w:pPr>
        <w:ind w:firstLine="360"/>
        <w:jc w:val="center"/>
        <w:spacing w:line="360" w:lineRule="auto"/>
        <w:rPr>
          <w:rFonts w:hint="eastAsia" w:ascii="宋体" w:hAnsi="宋体" w:eastAsia="宋体" w:cs="宋体"/>
          <w:b/>
          <w:bCs/>
          <w:spacing w:val="20"/>
          <w:sz w:val="21"/>
          <w:szCs w:val="21"/>
          <w:highlight w:val="none"/>
        </w:rPr>
      </w:pPr>
      <w:r>
        <w:rPr>
          <w:rFonts w:hint="eastAsia" w:ascii="宋体" w:hAnsi="宋体" w:eastAsia="宋体" w:cs="宋体"/>
          <w:b/>
          <w:bCs/>
          <w:spacing w:val="20"/>
          <w:sz w:val="21"/>
          <w:szCs w:val="21"/>
          <w:highlight w:val="none"/>
        </w:rPr>
      </w:r>
      <w:r/>
    </w:p>
    <w:p>
      <w:pPr>
        <w:spacing w:line="440" w:lineRule="exact"/>
        <w:rPr>
          <w:rFonts w:hint="eastAsia" w:ascii="宋体" w:hAnsi="宋体" w:eastAsia="宋体" w:cs="宋体"/>
          <w:b/>
          <w:bCs/>
          <w:sz w:val="21"/>
          <w:szCs w:val="21"/>
          <w:highlight w:val="none"/>
        </w:rPr>
      </w:pPr>
      <w:r>
        <w:rPr>
          <w:rFonts w:hint="eastAsia" w:ascii="宋体" w:hAnsi="宋体" w:eastAsia="宋体" w:cs="宋体"/>
          <w:b/>
          <w:sz w:val="21"/>
          <w:szCs w:val="21"/>
          <w:highlight w:val="none"/>
        </w:rPr>
        <w:br w:type="page" w:clear="all"/>
      </w:r>
      <w:r>
        <w:rPr>
          <w:rFonts w:hint="eastAsia" w:ascii="宋体" w:hAnsi="宋体" w:eastAsia="宋体" w:cs="宋体"/>
          <w:b/>
          <w:sz w:val="21"/>
          <w:szCs w:val="21"/>
          <w:highlight w:val="none"/>
        </w:rPr>
        <w:t xml:space="preserve">格式15：</w:t>
      </w:r>
      <w:r>
        <w:rPr>
          <w:rFonts w:hint="eastAsia" w:ascii="宋体" w:hAnsi="宋体" w:eastAsia="宋体" w:cs="宋体"/>
          <w:b/>
          <w:bCs/>
          <w:sz w:val="21"/>
          <w:szCs w:val="21"/>
          <w:highlight w:val="none"/>
        </w:rPr>
        <w:t xml:space="preserve">具备履行合同所必需的设备和专业技术能力的书面声明</w:t>
      </w:r>
      <w:r/>
    </w:p>
    <w:p>
      <w:pPr>
        <w:spacing w:line="44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spacing w:line="44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spacing w:line="440" w:lineRule="exact"/>
        <w:rPr>
          <w:rFonts w:hint="eastAsia" w:ascii="宋体" w:hAnsi="宋体" w:eastAsia="宋体" w:cs="宋体"/>
          <w:b/>
          <w:bCs/>
          <w:sz w:val="21"/>
          <w:szCs w:val="21"/>
          <w:highlight w:val="none"/>
          <w:lang w:val="zh-CN"/>
        </w:rPr>
      </w:pPr>
      <w:r>
        <w:rPr>
          <w:rFonts w:hint="eastAsia" w:ascii="宋体" w:hAnsi="宋体" w:eastAsia="宋体" w:cs="宋体"/>
          <w:b/>
          <w:bCs/>
          <w:sz w:val="21"/>
          <w:szCs w:val="21"/>
          <w:highlight w:val="none"/>
          <w:lang w:val="zh-CN"/>
        </w:rPr>
      </w:r>
      <w:r/>
    </w:p>
    <w:p>
      <w:pPr>
        <w:jc w:val="center"/>
        <w:spacing w:line="44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声    明</w:t>
      </w:r>
      <w:r/>
    </w:p>
    <w:p>
      <w:pPr>
        <w:ind w:firstLine="44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4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我单位郑重声明：</w:t>
      </w:r>
      <w:r/>
    </w:p>
    <w:p>
      <w:pPr>
        <w:ind w:firstLine="44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我单位具备履行本项采购合同所必需的设备和专业技术能力。</w:t>
      </w:r>
      <w:r/>
    </w:p>
    <w:p>
      <w:pPr>
        <w:ind w:firstLine="44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4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4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4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投标单位（加盖公章）：</w:t>
      </w:r>
      <w:r/>
    </w:p>
    <w:p>
      <w:pPr>
        <w:ind w:firstLine="44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年  月  日</w:t>
      </w:r>
      <w:r/>
    </w:p>
    <w:p>
      <w:pPr>
        <w:ind w:firstLine="44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4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4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4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4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4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4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4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4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4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4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4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4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4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4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050"/>
        <w:ind w:left="520"/>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050"/>
        <w:ind w:left="520"/>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spacing w:line="440" w:lineRule="exact"/>
        <w:rPr>
          <w:rFonts w:hint="eastAsia" w:ascii="宋体" w:hAnsi="宋体" w:eastAsia="宋体" w:cs="宋体"/>
          <w:b/>
          <w:bCs/>
          <w:sz w:val="21"/>
          <w:szCs w:val="21"/>
          <w:highlight w:val="none"/>
        </w:rPr>
      </w:pPr>
      <w:r>
        <w:rPr>
          <w:rFonts w:hint="eastAsia" w:ascii="宋体" w:hAnsi="宋体" w:eastAsia="宋体" w:cs="宋体"/>
          <w:b/>
          <w:sz w:val="21"/>
          <w:szCs w:val="21"/>
          <w:highlight w:val="none"/>
        </w:rPr>
        <w:t xml:space="preserve">格式16：参加政府采购活动前3年内在经营活动中没有重大违法记录的书面声明</w:t>
      </w:r>
      <w:r/>
    </w:p>
    <w:p>
      <w:pPr>
        <w:ind w:firstLine="44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4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center"/>
        <w:spacing w:line="44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声    明</w:t>
      </w:r>
      <w:r/>
    </w:p>
    <w:p>
      <w:pPr>
        <w:ind w:firstLine="44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4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我单位郑重声明：参加本次政府采购活动前3年内，我单位在经营活动中没有因违法经营受到刑事处罚或者责令停产停业、吊销许可证或者执照、较大数额罚款等行政处罚。</w:t>
      </w:r>
      <w:r/>
    </w:p>
    <w:p>
      <w:pPr>
        <w:ind w:firstLine="44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4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4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4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投标单位（加盖公章）：</w:t>
      </w:r>
      <w:r/>
    </w:p>
    <w:p>
      <w:pPr>
        <w:ind w:firstLine="44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年  月  日</w:t>
      </w:r>
      <w:r/>
    </w:p>
    <w:p>
      <w:pPr>
        <w:ind w:firstLine="44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4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4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4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4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4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4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4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4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4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spacing w:line="440" w:lineRule="exact"/>
        <w:rPr>
          <w:rFonts w:hint="eastAsia" w:ascii="宋体" w:hAnsi="宋体" w:eastAsia="宋体" w:cs="宋体"/>
          <w:color w:val="000000"/>
          <w:sz w:val="21"/>
          <w:szCs w:val="21"/>
          <w:highlight w:val="none"/>
        </w:rPr>
      </w:pPr>
      <w:r>
        <w:rPr>
          <w:rFonts w:hint="eastAsia" w:ascii="宋体" w:hAnsi="宋体" w:eastAsia="宋体" w:cs="宋体"/>
          <w:b w:val="0"/>
          <w:bCs w:val="0"/>
          <w:color w:val="000000"/>
          <w:spacing w:val="20"/>
          <w:sz w:val="21"/>
          <w:szCs w:val="21"/>
          <w:highlight w:val="none"/>
        </w:rPr>
        <w:br w:type="page" w:clear="all"/>
      </w:r>
      <w:r>
        <w:rPr>
          <w:rFonts w:hint="eastAsia" w:ascii="宋体" w:hAnsi="宋体" w:eastAsia="宋体" w:cs="宋体"/>
          <w:b/>
          <w:sz w:val="21"/>
          <w:szCs w:val="21"/>
          <w:highlight w:val="none"/>
          <w:lang w:val="zh-CN" w:eastAsia="zh-CN"/>
        </w:rPr>
        <w:t xml:space="preserve">附件1</w:t>
      </w:r>
      <w:r>
        <w:rPr>
          <w:rFonts w:hint="eastAsia" w:ascii="宋体" w:hAnsi="宋体" w:eastAsia="宋体" w:cs="宋体"/>
          <w:b/>
          <w:sz w:val="21"/>
          <w:szCs w:val="21"/>
          <w:highlight w:val="none"/>
          <w:lang w:val="en-US" w:eastAsia="zh-CN"/>
        </w:rPr>
        <w:t xml:space="preserve">7</w:t>
      </w:r>
      <w:r>
        <w:rPr>
          <w:rFonts w:hint="eastAsia" w:ascii="宋体" w:hAnsi="宋体" w:eastAsia="宋体" w:cs="宋体"/>
          <w:b/>
          <w:sz w:val="21"/>
          <w:szCs w:val="21"/>
          <w:highlight w:val="none"/>
          <w:lang w:val="zh-CN" w:eastAsia="zh-CN"/>
        </w:rPr>
        <w:t xml:space="preserve">：投标（响应）保证承诺书</w:t>
      </w:r>
      <w:r/>
    </w:p>
    <w:p>
      <w:pPr>
        <w:ind w:firstLine="420"/>
        <w:jc w:val="center"/>
        <w:spacing w:line="360" w:lineRule="auto"/>
        <w:tabs>
          <w:tab w:val="center" w:pos="4201" w:leader="none"/>
          <w:tab w:val="right" w:pos="9298" w:leader="dot"/>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jc w:val="center"/>
        <w:spacing w:line="360" w:lineRule="auto"/>
        <w:tabs>
          <w:tab w:val="center" w:pos="4201" w:leader="none"/>
          <w:tab w:val="right" w:pos="9298" w:leader="dot"/>
        </w:tabs>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投标（响应）保证承诺书</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lang w:bidi="ar"/>
        </w:rPr>
        <w:t xml:space="preserve">致：</w:t>
      </w:r>
      <w:r>
        <w:rPr>
          <w:rFonts w:hint="eastAsia" w:ascii="宋体" w:hAnsi="宋体" w:eastAsia="宋体" w:cs="宋体"/>
          <w:sz w:val="21"/>
          <w:szCs w:val="21"/>
          <w:highlight w:val="none"/>
          <w:u w:val="single"/>
          <w:lang w:bidi="ar"/>
        </w:rPr>
        <w:t xml:space="preserve">         （采购代理机构名称）</w:t>
      </w:r>
      <w:r/>
    </w:p>
    <w:p>
      <w:pPr>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我（单位/本人，以下统称我单位）自愿参加</w:t>
      </w:r>
      <w:r>
        <w:rPr>
          <w:rFonts w:hint="eastAsia" w:ascii="宋体" w:hAnsi="宋体" w:eastAsia="宋体" w:cs="宋体"/>
          <w:sz w:val="21"/>
          <w:szCs w:val="21"/>
          <w:highlight w:val="none"/>
          <w:u w:val="single"/>
          <w:lang w:bidi="ar"/>
        </w:rPr>
        <w:t xml:space="preserve">          （项目名称和采购编号）</w:t>
      </w:r>
      <w:r>
        <w:rPr>
          <w:rFonts w:hint="eastAsia" w:ascii="宋体" w:hAnsi="宋体" w:eastAsia="宋体" w:cs="宋体"/>
          <w:sz w:val="21"/>
          <w:szCs w:val="21"/>
          <w:highlight w:val="none"/>
          <w:lang w:bidi="ar"/>
        </w:rPr>
        <w:t xml:space="preserve">的投标（响应）,并做出如下承诺：</w:t>
      </w:r>
      <w:r/>
    </w:p>
    <w:p>
      <w:pPr>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一、  除不可抗力外，我单位如果发生以下行为，将在行为发生的10个工作日内，向贵方</w:t>
      </w:r>
      <w:r>
        <w:rPr>
          <w:rFonts w:hint="eastAsia" w:ascii="宋体" w:hAnsi="宋体" w:eastAsia="宋体" w:cs="宋体"/>
          <w:sz w:val="21"/>
          <w:szCs w:val="21"/>
          <w:highlight w:val="none"/>
          <w:u w:val="single"/>
          <w:lang w:bidi="ar"/>
        </w:rPr>
        <w:t xml:space="preserve">（或采购人）</w:t>
      </w:r>
      <w:r>
        <w:rPr>
          <w:rFonts w:hint="eastAsia" w:ascii="宋体" w:hAnsi="宋体" w:eastAsia="宋体" w:cs="宋体"/>
          <w:sz w:val="21"/>
          <w:szCs w:val="21"/>
          <w:highlight w:val="none"/>
          <w:lang w:bidi="ar"/>
        </w:rPr>
        <w:t xml:space="preserve">支付本采购文件公布的预算金额（或最高限价）的2%作为违约赔偿金（数量不确定的单价采购须约定具体金额）。</w:t>
      </w:r>
      <w:r/>
    </w:p>
    <w:p>
      <w:pPr>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1.自投标（响应）截止时间至本项目发布中标（成交）公告为止，撤销投标（响应）；</w:t>
      </w:r>
      <w:r/>
    </w:p>
    <w:p>
      <w:pPr>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2.中标（成交）后不依法与采购人签订合同；</w:t>
      </w:r>
      <w:r/>
    </w:p>
    <w:p>
      <w:pPr>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3.中标（成交）后不按本采购文件规定向采购人提交履约保证金；</w:t>
      </w:r>
      <w:r/>
    </w:p>
    <w:p>
      <w:pPr>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4.中标（成交）后不按本采购文件规定向贵方缴纳采购代理费。</w:t>
      </w:r>
      <w:r/>
    </w:p>
    <w:p>
      <w:pPr>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二、  我单位知晓上述行为的法律后果，承认本承诺书作为贵方</w:t>
      </w:r>
      <w:r>
        <w:rPr>
          <w:rFonts w:hint="eastAsia" w:ascii="宋体" w:hAnsi="宋体" w:eastAsia="宋体" w:cs="宋体"/>
          <w:sz w:val="21"/>
          <w:szCs w:val="21"/>
          <w:highlight w:val="none"/>
          <w:u w:val="single"/>
          <w:lang w:bidi="ar"/>
        </w:rPr>
        <w:t xml:space="preserve">（或采购人）</w:t>
      </w:r>
      <w:r>
        <w:rPr>
          <w:rFonts w:hint="eastAsia" w:ascii="宋体" w:hAnsi="宋体" w:eastAsia="宋体" w:cs="宋体"/>
          <w:sz w:val="21"/>
          <w:szCs w:val="21"/>
          <w:highlight w:val="none"/>
          <w:lang w:bidi="ar"/>
        </w:rPr>
        <w:t xml:space="preserve">要求我单位履行违约赔偿义务的依据作用。</w:t>
      </w:r>
      <w:r/>
    </w:p>
    <w:p>
      <w:pPr>
        <w:ind w:firstLine="20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投标人：（盖章）</w:t>
      </w:r>
      <w:r/>
    </w:p>
    <w:p>
      <w:pPr>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地址：</w:t>
      </w:r>
      <w:r/>
    </w:p>
    <w:p>
      <w:pPr>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电话： </w:t>
      </w:r>
      <w:r/>
    </w:p>
    <w:p>
      <w:pPr>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传真：</w:t>
      </w:r>
      <w:r/>
    </w:p>
    <w:p>
      <w:pPr>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电子邮件： </w:t>
      </w:r>
      <w:r/>
    </w:p>
    <w:p>
      <w:pPr>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邮编：</w:t>
      </w:r>
      <w:r/>
    </w:p>
    <w:p>
      <w:pPr>
        <w:ind w:firstLine="480"/>
        <w:spacing w:line="360" w:lineRule="auto"/>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日期：</w:t>
      </w:r>
      <w:r/>
    </w:p>
    <w:p>
      <w:pPr>
        <w:ind w:firstLine="480"/>
        <w:spacing w:line="360" w:lineRule="auto"/>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r>
      <w:r/>
    </w:p>
    <w:p>
      <w:pPr>
        <w:ind w:firstLine="480"/>
        <w:spacing w:line="360" w:lineRule="auto"/>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r>
      <w:r/>
    </w:p>
    <w:p>
      <w:pPr>
        <w:ind w:firstLine="480"/>
        <w:spacing w:line="360" w:lineRule="auto"/>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r>
      <w:r/>
    </w:p>
    <w:p>
      <w:pPr>
        <w:ind w:firstLine="480"/>
        <w:spacing w:line="360" w:lineRule="auto"/>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r>
      <w:r/>
    </w:p>
    <w:p>
      <w:pPr>
        <w:ind w:firstLine="480"/>
        <w:spacing w:line="360" w:lineRule="auto"/>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r>
      <w:r/>
    </w:p>
    <w:p>
      <w:pPr>
        <w:ind w:firstLine="480"/>
        <w:spacing w:line="360" w:lineRule="auto"/>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r>
      <w:r/>
    </w:p>
    <w:p>
      <w:pPr>
        <w:ind w:firstLine="480"/>
        <w:spacing w:line="360" w:lineRule="auto"/>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r>
      <w:r/>
    </w:p>
    <w:p>
      <w:pPr>
        <w:ind w:firstLine="480"/>
        <w:spacing w:line="360" w:lineRule="auto"/>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r>
      <w:r/>
    </w:p>
    <w:p>
      <w:pPr>
        <w:jc w:val="left"/>
        <w:rPr>
          <w:rFonts w:hint="eastAsia" w:ascii="宋体" w:hAnsi="宋体" w:eastAsia="宋体" w:cs="宋体"/>
          <w:color w:val="auto"/>
          <w:sz w:val="21"/>
          <w:szCs w:val="21"/>
          <w:highlight w:val="none"/>
        </w:rPr>
      </w:pPr>
      <w:r>
        <w:rPr>
          <w:rFonts w:hint="eastAsia" w:ascii="宋体" w:hAnsi="宋体" w:eastAsia="宋体" w:cs="宋体"/>
          <w:b/>
          <w:sz w:val="21"/>
          <w:szCs w:val="21"/>
          <w:highlight w:val="none"/>
          <w:lang w:val="zh-CN" w:eastAsia="zh-CN"/>
        </w:rPr>
        <w:t xml:space="preserve">附件1</w:t>
      </w:r>
      <w:r>
        <w:rPr>
          <w:rFonts w:hint="eastAsia" w:ascii="宋体" w:hAnsi="宋体" w:cs="宋体"/>
          <w:b/>
          <w:sz w:val="21"/>
          <w:szCs w:val="21"/>
          <w:highlight w:val="none"/>
          <w:lang w:val="en-US" w:eastAsia="zh-CN"/>
        </w:rPr>
        <w:t xml:space="preserve">8</w:t>
      </w:r>
      <w:r>
        <w:rPr>
          <w:rFonts w:hint="eastAsia" w:ascii="宋体" w:hAnsi="宋体" w:eastAsia="宋体" w:cs="宋体"/>
          <w:b/>
          <w:sz w:val="21"/>
          <w:szCs w:val="21"/>
          <w:highlight w:val="none"/>
          <w:lang w:val="zh-CN" w:eastAsia="zh-CN"/>
        </w:rPr>
        <w:t xml:space="preserve">：</w:t>
      </w:r>
      <w:r>
        <w:rPr>
          <w:rFonts w:hint="eastAsia" w:ascii="宋体" w:hAnsi="宋体" w:eastAsia="宋体" w:cs="宋体"/>
          <w:b/>
          <w:color w:val="auto"/>
          <w:sz w:val="21"/>
          <w:szCs w:val="21"/>
          <w:highlight w:val="none"/>
        </w:rPr>
        <w:t xml:space="preserve">关于符合本国产品标准的声明函（</w:t>
      </w:r>
      <w:r>
        <w:rPr>
          <w:rFonts w:hint="eastAsia" w:ascii="宋体" w:hAnsi="宋体" w:eastAsia="宋体" w:cs="宋体"/>
          <w:b/>
          <w:color w:val="auto"/>
          <w:sz w:val="21"/>
          <w:szCs w:val="21"/>
          <w:highlight w:val="none"/>
          <w:lang w:val="en-US" w:eastAsia="zh-CN"/>
        </w:rPr>
        <w:t xml:space="preserve">招标编号</w:t>
      </w:r>
      <w:r>
        <w:rPr>
          <w:rFonts w:hint="eastAsia" w:ascii="宋体" w:hAnsi="宋体" w:eastAsia="宋体" w:cs="宋体"/>
          <w:b/>
          <w:color w:val="auto"/>
          <w:sz w:val="21"/>
          <w:szCs w:val="21"/>
          <w:highlight w:val="none"/>
        </w:rPr>
        <w:t xml:space="preserve">：</w:t>
      </w:r>
      <w:r>
        <w:rPr>
          <w:rFonts w:hint="eastAsia" w:ascii="宋体" w:hAnsi="宋体" w:eastAsia="宋体" w:cs="宋体"/>
          <w:b/>
          <w:color w:val="auto"/>
          <w:sz w:val="21"/>
          <w:szCs w:val="21"/>
          <w:highlight w:val="none"/>
          <w:u w:val="single"/>
          <w:lang w:val="en-US" w:eastAsia="zh-CN"/>
        </w:rPr>
        <w:t xml:space="preserve">     </w:t>
      </w:r>
      <w:r>
        <w:rPr>
          <w:rFonts w:hint="eastAsia" w:ascii="宋体" w:hAnsi="宋体" w:eastAsia="宋体" w:cs="宋体"/>
          <w:b/>
          <w:color w:val="auto"/>
          <w:sz w:val="21"/>
          <w:szCs w:val="21"/>
          <w:highlight w:val="none"/>
        </w:rPr>
        <w:t xml:space="preserve">）</w:t>
      </w:r>
      <w:r/>
    </w:p>
    <w:p>
      <w:pPr>
        <w:pStyle w:val="815"/>
        <w:ind w:firstLine="420"/>
        <w:spacing w:before="0" w:beforeAutospacing="0" w:after="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15"/>
        <w:ind w:firstLine="420"/>
        <w:jc w:val="center"/>
        <w:spacing w:before="0" w:beforeAutospacing="0" w:after="0" w:afterAutospacing="0" w:line="0" w:lineRule="atLeas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关于符合本国产品标准的声明函</w:t>
      </w:r>
      <w:r/>
    </w:p>
    <w:p>
      <w:pPr>
        <w:pStyle w:val="815"/>
        <w:ind w:firstLine="420"/>
        <w:jc w:val="center"/>
        <w:spacing w:before="0" w:beforeAutospacing="0" w:after="0" w:afterAutospacing="0" w:line="0" w:lineRule="atLeas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815"/>
        <w:ind w:firstLine="420"/>
        <w:spacing w:before="0" w:beforeAutospacing="0" w:after="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w:t>
      </w:r>
      <w:r>
        <w:rPr>
          <w:rFonts w:hint="eastAsia" w:ascii="宋体" w:hAnsi="宋体" w:eastAsia="宋体" w:cs="宋体"/>
          <w:color w:val="auto"/>
          <w:sz w:val="21"/>
          <w:szCs w:val="21"/>
          <w:highlight w:val="none"/>
          <w:u w:val="single"/>
        </w:rPr>
        <w:t xml:space="preserve">（单位）</w:t>
      </w:r>
      <w:r>
        <w:rPr>
          <w:rFonts w:hint="eastAsia" w:ascii="宋体" w:hAnsi="宋体" w:eastAsia="宋体" w:cs="宋体"/>
          <w:color w:val="auto"/>
          <w:sz w:val="21"/>
          <w:szCs w:val="21"/>
          <w:highlight w:val="none"/>
        </w:rPr>
        <w:t xml:space="preserve">郑重声明，根据《国务院办公厅关于在政府采购中实施本国产品标准及相关政策的通知》（国办发〔2025〕34号）的规定，本公司</w:t>
      </w:r>
      <w:r>
        <w:rPr>
          <w:rFonts w:hint="eastAsia" w:ascii="宋体" w:hAnsi="宋体" w:eastAsia="宋体" w:cs="宋体"/>
          <w:color w:val="auto"/>
          <w:sz w:val="21"/>
          <w:szCs w:val="21"/>
          <w:highlight w:val="none"/>
          <w:u w:val="single"/>
        </w:rPr>
        <w:t xml:space="preserve">（单位）</w:t>
      </w:r>
      <w:r>
        <w:rPr>
          <w:rFonts w:hint="eastAsia" w:ascii="宋体" w:hAnsi="宋体" w:eastAsia="宋体" w:cs="宋体"/>
          <w:color w:val="auto"/>
          <w:sz w:val="21"/>
          <w:szCs w:val="21"/>
          <w:highlight w:val="none"/>
        </w:rPr>
        <w:t xml:space="preserve">提供的以下产品属于本国产品。具体情况如下：</w:t>
      </w:r>
      <w:r/>
    </w:p>
    <w:p>
      <w:pPr>
        <w:pStyle w:val="815"/>
        <w:ind w:firstLine="420"/>
        <w:spacing w:before="30" w:beforeAutospacing="0" w:after="3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1668780</wp:posOffset>
                </wp:positionH>
                <wp:positionV relativeFrom="paragraph">
                  <wp:posOffset>412115</wp:posOffset>
                </wp:positionV>
                <wp:extent cx="565785" cy="130810"/>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 o:spid="_x0000_s1" style="position:absolute;z-index:251669504;o:allowoverlap:true;o:allowincell:true;mso-position-horizontal-relative:text;margin-left:131.4pt;mso-position-horizontal:absolute;mso-position-vertical-relative:text;margin-top:32.4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665480</wp:posOffset>
                </wp:positionH>
                <wp:positionV relativeFrom="paragraph">
                  <wp:posOffset>398145</wp:posOffset>
                </wp:positionV>
                <wp:extent cx="565785" cy="13081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2" o:spid="_x0000_s2" style="position:absolute;z-index:251665408;o:allowoverlap:true;o:allowincell:true;mso-position-horizontal-relative:text;margin-left:52.4pt;mso-position-horizontal:absolute;mso-position-vertical-relative:text;margin-top:31.3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3895090</wp:posOffset>
                </wp:positionH>
                <wp:positionV relativeFrom="paragraph">
                  <wp:posOffset>233045</wp:posOffset>
                </wp:positionV>
                <wp:extent cx="715010" cy="7620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7150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3" o:spid="_x0000_s3" style="position:absolute;z-index:251668480;o:allowoverlap:true;o:allowincell:true;mso-position-horizontal-relative:text;margin-left:306.7pt;mso-position-horizontal:absolute;mso-position-vertical-relative:text;margin-top:18.3pt;mso-position-vertical:absolute;width:56.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2919730</wp:posOffset>
                </wp:positionH>
                <wp:positionV relativeFrom="paragraph">
                  <wp:posOffset>266065</wp:posOffset>
                </wp:positionV>
                <wp:extent cx="715010" cy="7620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7150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4" o:spid="_x0000_s4" style="position:absolute;z-index:251660288;o:allowoverlap:true;o:allowincell:true;mso-position-horizontal-relative:text;margin-left:229.9pt;mso-position-horizontal:absolute;mso-position-vertical-relative:text;margin-top:20.9pt;mso-position-vertical:absolute;width:56.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1885950</wp:posOffset>
                </wp:positionH>
                <wp:positionV relativeFrom="paragraph">
                  <wp:posOffset>255270</wp:posOffset>
                </wp:positionV>
                <wp:extent cx="816610" cy="7620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5" o:spid="_x0000_s5" style="position:absolute;z-index:251659264;o:allowoverlap:true;o:allowincell:true;mso-position-horizontal-relative:text;margin-left:148.5pt;mso-position-horizontal:absolute;mso-position-vertical-relative:text;margin-top:20.1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4327525</wp:posOffset>
                </wp:positionH>
                <wp:positionV relativeFrom="paragraph">
                  <wp:posOffset>57150</wp:posOffset>
                </wp:positionV>
                <wp:extent cx="577215" cy="9207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6" o:spid="_x0000_s6" style="position:absolute;z-index:251664384;o:allowoverlap:true;o:allowincell:true;mso-position-horizontal-relative:text;margin-left:340.8pt;mso-position-horizontal:absolute;mso-position-vertical-relative:text;margin-top:4.5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1"/>
          <w:szCs w:val="21"/>
          <w:highlight w:val="none"/>
          <w:shd w:val="clear" w:color="auto" w:fill="ffffff"/>
        </w:rPr>
        <w:t xml:space="preserve">1.</w:t>
      </w:r>
      <w:r>
        <w:rPr>
          <w:rStyle w:val="819"/>
          <w:rFonts w:hint="eastAsia" w:ascii="宋体" w:hAnsi="宋体" w:eastAsia="宋体" w:cs="宋体"/>
          <w:i w:val="0"/>
          <w:color w:val="auto"/>
          <w:sz w:val="21"/>
          <w:szCs w:val="21"/>
          <w:highlight w:val="none"/>
          <w:u w:val="single"/>
          <w:shd w:val="clear" w:color="auto" w:fill="ffffff"/>
        </w:rPr>
        <w:t xml:space="preserve">（产品名称1）</w:t>
      </w:r>
      <w:r>
        <w:rPr>
          <w:rStyle w:val="819"/>
          <w:rFonts w:hint="eastAsia" w:ascii="宋体" w:hAnsi="宋体" w:eastAsia="宋体" w:cs="宋体"/>
          <w:i w:val="0"/>
          <w:color w:val="auto"/>
          <w:sz w:val="21"/>
          <w:szCs w:val="21"/>
          <w:highlight w:val="none"/>
          <w:shd w:val="clear" w:color="auto" w:fill="ffffff"/>
          <w:vertAlign w:val="superscript"/>
        </w:rPr>
        <w:t xml:space="preserve">1</w:t>
      </w:r>
      <w:r>
        <w:rPr>
          <w:rFonts w:hint="eastAsia" w:ascii="宋体" w:hAnsi="宋体" w:eastAsia="宋体" w:cs="宋体"/>
          <w:color w:val="auto"/>
          <w:sz w:val="21"/>
          <w:szCs w:val="21"/>
          <w:highlight w:val="none"/>
          <w:shd w:val="clear" w:color="auto" w:fill="ffffff"/>
        </w:rPr>
        <w:t xml:space="preserve">，生产厂为</w:t>
      </w:r>
      <w:r>
        <w:rPr>
          <w:rStyle w:val="819"/>
          <w:rFonts w:hint="eastAsia" w:ascii="宋体" w:hAnsi="宋体" w:eastAsia="宋体" w:cs="宋体"/>
          <w:i w:val="0"/>
          <w:color w:val="auto"/>
          <w:sz w:val="21"/>
          <w:szCs w:val="21"/>
          <w:highlight w:val="none"/>
          <w:u w:val="single"/>
          <w:shd w:val="clear" w:color="auto" w:fill="ffffff"/>
        </w:rPr>
        <w:t xml:space="preserve">（厂名）</w:t>
      </w:r>
      <w:r>
        <w:rPr>
          <w:rStyle w:val="819"/>
          <w:rFonts w:hint="eastAsia" w:ascii="宋体" w:hAnsi="宋体" w:eastAsia="宋体" w:cs="宋体"/>
          <w:i w:val="0"/>
          <w:color w:val="auto"/>
          <w:sz w:val="21"/>
          <w:szCs w:val="21"/>
          <w:highlight w:val="none"/>
          <w:shd w:val="clear" w:color="auto" w:fill="ffffff"/>
          <w:vertAlign w:val="superscript"/>
        </w:rPr>
        <w:t xml:space="preserve">2</w:t>
      </w:r>
      <w:r>
        <w:rPr>
          <w:rFonts w:hint="eastAsia" w:ascii="宋体" w:hAnsi="宋体" w:eastAsia="宋体" w:cs="宋体"/>
          <w:color w:val="auto"/>
          <w:sz w:val="21"/>
          <w:szCs w:val="21"/>
          <w:highlight w:val="none"/>
          <w:shd w:val="clear" w:color="auto" w:fill="ffffff"/>
        </w:rPr>
        <w:t xml:space="preserve">，厂址为</w:t>
      </w:r>
      <w:r>
        <w:rPr>
          <w:rStyle w:val="819"/>
          <w:rFonts w:hint="eastAsia" w:ascii="宋体" w:hAnsi="宋体" w:eastAsia="宋体" w:cs="宋体"/>
          <w:i w:val="0"/>
          <w:color w:val="auto"/>
          <w:sz w:val="21"/>
          <w:szCs w:val="21"/>
          <w:highlight w:val="none"/>
          <w:u w:val="single"/>
          <w:shd w:val="clear" w:color="auto" w:fill="ffffff"/>
        </w:rPr>
        <w:t xml:space="preserve">（生产厂址）</w:t>
      </w:r>
      <w:r>
        <w:rPr>
          <w:rFonts w:hint="eastAsia" w:ascii="宋体" w:hAnsi="宋体" w:eastAsia="宋体" w:cs="宋体"/>
          <w:color w:val="auto"/>
          <w:sz w:val="21"/>
          <w:szCs w:val="21"/>
          <w:highlight w:val="none"/>
          <w:shd w:val="clear" w:color="auto" w:fill="ffffff"/>
        </w:rPr>
        <w:t xml:space="preserve">。</w:t>
      </w:r>
      <w:r>
        <w:rPr>
          <w:rFonts w:hint="eastAsia" w:ascii="宋体" w:hAnsi="宋体" w:eastAsia="宋体" w:cs="宋体"/>
          <w:color w:val="auto"/>
          <w:sz w:val="21"/>
          <w:szCs w:val="21"/>
          <w:highlight w:val="none"/>
          <w:u w:val="single"/>
          <w:shd w:val="clear" w:color="auto" w:fill="ffffff"/>
        </w:rPr>
        <w:t xml:space="preserve"> </w:t>
      </w:r>
      <w:r>
        <w:rPr>
          <w:rStyle w:val="819"/>
          <w:rFonts w:hint="eastAsia" w:ascii="宋体" w:hAnsi="宋体" w:eastAsia="宋体" w:cs="宋体"/>
          <w:i w:val="0"/>
          <w:color w:val="auto"/>
          <w:sz w:val="21"/>
          <w:szCs w:val="21"/>
          <w:highlight w:val="none"/>
          <w:u w:val="single"/>
          <w:shd w:val="clear" w:color="auto" w:fill="ffffff"/>
        </w:rPr>
        <w:t xml:space="preserve">（产品名称1） </w:t>
      </w:r>
      <w:r>
        <w:rPr>
          <w:rFonts w:hint="eastAsia" w:ascii="宋体" w:hAnsi="宋体" w:eastAsia="宋体" w:cs="宋体"/>
          <w:color w:val="auto"/>
          <w:sz w:val="21"/>
          <w:szCs w:val="21"/>
          <w:highlight w:val="none"/>
          <w:shd w:val="clear" w:color="auto" w:fill="ffffff"/>
        </w:rPr>
        <w:t xml:space="preserve">的中国境内生产的组件成本占比≥</w:t>
      </w:r>
      <w:r>
        <w:rPr>
          <w:rStyle w:val="819"/>
          <w:rFonts w:hint="eastAsia" w:ascii="宋体" w:hAnsi="宋体" w:eastAsia="宋体" w:cs="宋体"/>
          <w:i w:val="0"/>
          <w:color w:val="auto"/>
          <w:sz w:val="21"/>
          <w:szCs w:val="21"/>
          <w:highlight w:val="none"/>
          <w:u w:val="single"/>
          <w:shd w:val="clear" w:color="auto" w:fill="ffffff"/>
        </w:rPr>
        <w:t xml:space="preserve">（规定比例）</w:t>
      </w:r>
      <w:r>
        <w:rPr>
          <w:rStyle w:val="819"/>
          <w:rFonts w:hint="eastAsia" w:ascii="宋体" w:hAnsi="宋体" w:eastAsia="宋体" w:cs="宋体"/>
          <w:i w:val="0"/>
          <w:color w:val="auto"/>
          <w:sz w:val="21"/>
          <w:szCs w:val="21"/>
          <w:highlight w:val="none"/>
          <w:shd w:val="clear" w:color="auto" w:fill="ffffff"/>
          <w:vertAlign w:val="superscript"/>
        </w:rPr>
        <w:t xml:space="preserve">3</w:t>
      </w:r>
      <w:r>
        <w:rPr>
          <w:rFonts w:hint="eastAsia" w:ascii="宋体" w:hAnsi="宋体" w:eastAsia="宋体" w:cs="宋体"/>
          <w:color w:val="auto"/>
          <w:sz w:val="21"/>
          <w:szCs w:val="21"/>
          <w:highlight w:val="none"/>
          <w:shd w:val="clear" w:color="auto" w:fill="ffffff"/>
        </w:rPr>
        <w:t xml:space="preserve">。</w:t>
      </w:r>
      <w:r>
        <w:rPr>
          <w:rStyle w:val="819"/>
          <w:rFonts w:hint="eastAsia" w:ascii="宋体" w:hAnsi="宋体" w:eastAsia="宋体" w:cs="宋体"/>
          <w:i w:val="0"/>
          <w:color w:val="auto"/>
          <w:sz w:val="21"/>
          <w:szCs w:val="21"/>
          <w:highlight w:val="none"/>
          <w:u w:val="single"/>
          <w:shd w:val="clear" w:color="auto" w:fill="ffffff"/>
        </w:rPr>
        <w:t xml:space="preserve">（产品名称1）</w:t>
      </w:r>
      <w:r>
        <w:rPr>
          <w:rFonts w:hint="eastAsia" w:ascii="宋体" w:hAnsi="宋体" w:eastAsia="宋体" w:cs="宋体"/>
          <w:color w:val="auto"/>
          <w:sz w:val="21"/>
          <w:szCs w:val="21"/>
          <w:highlight w:val="none"/>
          <w:shd w:val="clear" w:color="auto" w:fill="ffffff"/>
        </w:rPr>
        <w:t xml:space="preserve">的</w:t>
      </w:r>
      <w:r>
        <w:rPr>
          <w:rStyle w:val="819"/>
          <w:rFonts w:hint="eastAsia" w:ascii="宋体" w:hAnsi="宋体" w:eastAsia="宋体" w:cs="宋体"/>
          <w:i w:val="0"/>
          <w:color w:val="auto"/>
          <w:sz w:val="21"/>
          <w:szCs w:val="21"/>
          <w:highlight w:val="none"/>
          <w:u w:val="single"/>
          <w:shd w:val="clear" w:color="auto" w:fill="ffffff"/>
        </w:rPr>
        <w:t xml:space="preserve">（关键组件）</w:t>
      </w:r>
      <w:r>
        <w:rPr>
          <w:rStyle w:val="819"/>
          <w:rFonts w:hint="eastAsia" w:ascii="宋体" w:hAnsi="宋体" w:eastAsia="宋体" w:cs="宋体"/>
          <w:i w:val="0"/>
          <w:color w:val="auto"/>
          <w:sz w:val="21"/>
          <w:szCs w:val="21"/>
          <w:highlight w:val="none"/>
          <w:shd w:val="clear" w:color="auto" w:fill="ffffff"/>
          <w:vertAlign w:val="superscript"/>
        </w:rPr>
        <w:t xml:space="preserve">4</w:t>
      </w:r>
      <w:r>
        <w:rPr>
          <w:rFonts w:hint="eastAsia" w:ascii="宋体" w:hAnsi="宋体" w:eastAsia="宋体" w:cs="宋体"/>
          <w:color w:val="auto"/>
          <w:sz w:val="21"/>
          <w:szCs w:val="21"/>
          <w:highlight w:val="none"/>
          <w:shd w:val="clear" w:color="auto" w:fill="ffffff"/>
        </w:rPr>
        <w:t xml:space="preserve">在中国境内生产。</w:t>
      </w:r>
      <w:r>
        <w:rPr>
          <w:rStyle w:val="819"/>
          <w:rFonts w:hint="eastAsia" w:ascii="宋体" w:hAnsi="宋体" w:eastAsia="宋体" w:cs="宋体"/>
          <w:i w:val="0"/>
          <w:color w:val="auto"/>
          <w:sz w:val="21"/>
          <w:szCs w:val="21"/>
          <w:highlight w:val="none"/>
          <w:u w:val="single"/>
          <w:shd w:val="clear" w:color="auto" w:fill="ffffff"/>
        </w:rPr>
        <w:t xml:space="preserve">（产品名称1）</w:t>
      </w:r>
      <w:r>
        <w:rPr>
          <w:rFonts w:hint="eastAsia" w:ascii="宋体" w:hAnsi="宋体" w:eastAsia="宋体" w:cs="宋体"/>
          <w:color w:val="auto"/>
          <w:sz w:val="21"/>
          <w:szCs w:val="21"/>
          <w:highlight w:val="none"/>
          <w:shd w:val="clear" w:color="auto" w:fill="ffffff"/>
        </w:rPr>
        <w:t xml:space="preserve">的</w:t>
      </w:r>
      <w:r>
        <w:rPr>
          <w:rStyle w:val="819"/>
          <w:rFonts w:hint="eastAsia" w:ascii="宋体" w:hAnsi="宋体" w:eastAsia="宋体" w:cs="宋体"/>
          <w:i w:val="0"/>
          <w:color w:val="auto"/>
          <w:sz w:val="21"/>
          <w:szCs w:val="21"/>
          <w:highlight w:val="none"/>
          <w:u w:val="single"/>
          <w:shd w:val="clear" w:color="auto" w:fill="ffffff"/>
        </w:rPr>
        <w:t xml:space="preserve">（关键工序）</w:t>
      </w:r>
      <w:r>
        <w:rPr>
          <w:rStyle w:val="819"/>
          <w:rFonts w:hint="eastAsia" w:ascii="宋体" w:hAnsi="宋体" w:eastAsia="宋体" w:cs="宋体"/>
          <w:i w:val="0"/>
          <w:color w:val="auto"/>
          <w:sz w:val="21"/>
          <w:szCs w:val="21"/>
          <w:highlight w:val="none"/>
          <w:shd w:val="clear" w:color="auto" w:fill="ffffff"/>
          <w:vertAlign w:val="superscript"/>
        </w:rPr>
        <w:t xml:space="preserve">5</w:t>
      </w:r>
      <w:r>
        <w:rPr>
          <w:rFonts w:hint="eastAsia" w:ascii="宋体" w:hAnsi="宋体" w:eastAsia="宋体" w:cs="宋体"/>
          <w:color w:val="auto"/>
          <w:sz w:val="21"/>
          <w:szCs w:val="21"/>
          <w:highlight w:val="none"/>
          <w:shd w:val="clear" w:color="auto" w:fill="ffffff"/>
        </w:rPr>
        <w:t xml:space="preserve">在中国境内完成。</w:t>
      </w:r>
      <w:r/>
    </w:p>
    <w:p>
      <w:pPr>
        <w:pStyle w:val="815"/>
        <w:ind w:firstLine="420"/>
        <w:spacing w:before="30" w:beforeAutospacing="0" w:after="3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1455420</wp:posOffset>
                </wp:positionH>
                <wp:positionV relativeFrom="paragraph">
                  <wp:posOffset>386715</wp:posOffset>
                </wp:positionV>
                <wp:extent cx="424815" cy="11239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7" o:spid="_x0000_s7" style="position:absolute;z-index:251670528;o:allowoverlap:true;o:allowincell:true;mso-position-horizontal-relative:text;margin-left:114.6pt;mso-position-horizontal:absolute;mso-position-vertical-relative:text;margin-top:30.4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451485</wp:posOffset>
                </wp:positionH>
                <wp:positionV relativeFrom="paragraph">
                  <wp:posOffset>365760</wp:posOffset>
                </wp:positionV>
                <wp:extent cx="424815" cy="11239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8" o:spid="_x0000_s8" style="position:absolute;z-index:251667456;o:allowoverlap:true;o:allowincell:true;mso-position-horizontal-relative:text;margin-left:35.5pt;mso-position-horizontal:absolute;mso-position-vertical-relative:text;margin-top:28.8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3627120</wp:posOffset>
                </wp:positionH>
                <wp:positionV relativeFrom="paragraph">
                  <wp:posOffset>210820</wp:posOffset>
                </wp:positionV>
                <wp:extent cx="849630" cy="12001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9" o:spid="_x0000_s9" style="position:absolute;z-index:251663360;o:allowoverlap:true;o:allowincell:true;mso-position-horizontal-relative:text;margin-left:285.6pt;mso-position-horizontal:absolute;mso-position-vertical-relative:text;margin-top:16.6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2579370</wp:posOffset>
                </wp:positionH>
                <wp:positionV relativeFrom="paragraph">
                  <wp:posOffset>194945</wp:posOffset>
                </wp:positionV>
                <wp:extent cx="843915" cy="12573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0" o:spid="_x0000_s10" style="position:absolute;z-index:251662336;o:allowoverlap:true;o:allowincell:true;mso-position-horizontal-relative:text;margin-left:203.1pt;mso-position-horizontal:absolute;mso-position-vertical-relative:text;margin-top:15.3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1528445</wp:posOffset>
                </wp:positionH>
                <wp:positionV relativeFrom="paragraph">
                  <wp:posOffset>185420</wp:posOffset>
                </wp:positionV>
                <wp:extent cx="876300" cy="12001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1" o:spid="_x0000_s11" style="position:absolute;z-index:251661312;o:allowoverlap:true;o:allowincell:true;mso-position-horizontal-relative:text;margin-left:120.3pt;mso-position-horizontal:absolute;mso-position-vertical-relative:text;margin-top:14.6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4083050</wp:posOffset>
                </wp:positionH>
                <wp:positionV relativeFrom="paragraph">
                  <wp:posOffset>59690</wp:posOffset>
                </wp:positionV>
                <wp:extent cx="718185" cy="9779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2" o:spid="_x0000_s12" style="position:absolute;z-index:251666432;o:allowoverlap:true;o:allowincell:true;mso-position-horizontal-relative:text;margin-left:321.5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1"/>
          <w:szCs w:val="21"/>
          <w:highlight w:val="none"/>
          <w:shd w:val="clear" w:color="auto" w:fill="ffffff"/>
        </w:rPr>
        <w:t xml:space="preserve">2.</w:t>
      </w:r>
      <w:r>
        <w:rPr>
          <w:rStyle w:val="819"/>
          <w:rFonts w:hint="eastAsia" w:ascii="宋体" w:hAnsi="宋体" w:eastAsia="宋体" w:cs="宋体"/>
          <w:i w:val="0"/>
          <w:color w:val="auto"/>
          <w:sz w:val="21"/>
          <w:szCs w:val="21"/>
          <w:highlight w:val="none"/>
          <w:u w:val="single"/>
          <w:shd w:val="clear" w:color="auto" w:fill="ffffff"/>
        </w:rPr>
        <w:t xml:space="preserve">（产品名称2）</w:t>
      </w:r>
      <w:r>
        <w:rPr>
          <w:rFonts w:hint="eastAsia" w:ascii="宋体" w:hAnsi="宋体" w:eastAsia="宋体" w:cs="宋体"/>
          <w:color w:val="auto"/>
          <w:sz w:val="21"/>
          <w:szCs w:val="21"/>
          <w:highlight w:val="none"/>
          <w:shd w:val="clear" w:color="auto" w:fill="ffffff"/>
        </w:rPr>
        <w:t xml:space="preserve">，生产厂为</w:t>
      </w:r>
      <w:r>
        <w:rPr>
          <w:rStyle w:val="819"/>
          <w:rFonts w:hint="eastAsia" w:ascii="宋体" w:hAnsi="宋体" w:eastAsia="宋体" w:cs="宋体"/>
          <w:i w:val="0"/>
          <w:color w:val="auto"/>
          <w:sz w:val="21"/>
          <w:szCs w:val="21"/>
          <w:highlight w:val="none"/>
          <w:u w:val="single"/>
          <w:shd w:val="clear" w:color="auto" w:fill="ffffff"/>
        </w:rPr>
        <w:t xml:space="preserve">（厂名）</w:t>
      </w:r>
      <w:r>
        <w:rPr>
          <w:rFonts w:hint="eastAsia" w:ascii="宋体" w:hAnsi="宋体" w:eastAsia="宋体" w:cs="宋体"/>
          <w:color w:val="auto"/>
          <w:sz w:val="21"/>
          <w:szCs w:val="21"/>
          <w:highlight w:val="none"/>
          <w:shd w:val="clear" w:color="auto" w:fill="ffffff"/>
        </w:rPr>
        <w:t xml:space="preserve">，厂址为</w:t>
      </w:r>
      <w:r>
        <w:rPr>
          <w:rStyle w:val="819"/>
          <w:rFonts w:hint="eastAsia" w:ascii="宋体" w:hAnsi="宋体" w:eastAsia="宋体" w:cs="宋体"/>
          <w:i w:val="0"/>
          <w:color w:val="auto"/>
          <w:sz w:val="21"/>
          <w:szCs w:val="21"/>
          <w:highlight w:val="none"/>
          <w:u w:val="single"/>
          <w:shd w:val="clear" w:color="auto" w:fill="ffffff"/>
        </w:rPr>
        <w:t xml:space="preserve">（生产厂址）</w:t>
      </w:r>
      <w:r>
        <w:rPr>
          <w:rFonts w:hint="eastAsia" w:ascii="宋体" w:hAnsi="宋体" w:eastAsia="宋体" w:cs="宋体"/>
          <w:color w:val="auto"/>
          <w:sz w:val="21"/>
          <w:szCs w:val="21"/>
          <w:highlight w:val="none"/>
          <w:shd w:val="clear" w:color="auto" w:fill="ffffff"/>
        </w:rPr>
        <w:t xml:space="preserve">。</w:t>
      </w:r>
      <w:r>
        <w:rPr>
          <w:rStyle w:val="819"/>
          <w:rFonts w:hint="eastAsia" w:ascii="宋体" w:hAnsi="宋体" w:eastAsia="宋体" w:cs="宋体"/>
          <w:i w:val="0"/>
          <w:color w:val="auto"/>
          <w:sz w:val="21"/>
          <w:szCs w:val="21"/>
          <w:highlight w:val="none"/>
          <w:u w:val="single"/>
          <w:shd w:val="clear" w:color="auto" w:fill="ffffff"/>
        </w:rPr>
        <w:t xml:space="preserve">（产品名称2）</w:t>
      </w:r>
      <w:r>
        <w:rPr>
          <w:rFonts w:hint="eastAsia" w:ascii="宋体" w:hAnsi="宋体" w:eastAsia="宋体" w:cs="宋体"/>
          <w:color w:val="auto"/>
          <w:sz w:val="21"/>
          <w:szCs w:val="21"/>
          <w:highlight w:val="none"/>
          <w:shd w:val="clear" w:color="auto" w:fill="ffffff"/>
        </w:rPr>
        <w:t xml:space="preserve">的中国境内生产的组件成本占比≥</w:t>
      </w:r>
      <w:r>
        <w:rPr>
          <w:rStyle w:val="819"/>
          <w:rFonts w:hint="eastAsia" w:ascii="宋体" w:hAnsi="宋体" w:eastAsia="宋体" w:cs="宋体"/>
          <w:i w:val="0"/>
          <w:color w:val="auto"/>
          <w:sz w:val="21"/>
          <w:szCs w:val="21"/>
          <w:highlight w:val="none"/>
          <w:u w:val="single"/>
          <w:shd w:val="clear" w:color="auto" w:fill="ffffff"/>
        </w:rPr>
        <w:t xml:space="preserve">（规定比例）</w:t>
      </w:r>
      <w:r>
        <w:rPr>
          <w:rFonts w:hint="eastAsia" w:ascii="宋体" w:hAnsi="宋体" w:eastAsia="宋体" w:cs="宋体"/>
          <w:color w:val="auto"/>
          <w:sz w:val="21"/>
          <w:szCs w:val="21"/>
          <w:highlight w:val="none"/>
          <w:shd w:val="clear" w:color="auto" w:fill="ffffff"/>
        </w:rPr>
        <w:t xml:space="preserve">。</w:t>
      </w:r>
      <w:r>
        <w:rPr>
          <w:rStyle w:val="819"/>
          <w:rFonts w:hint="eastAsia" w:ascii="宋体" w:hAnsi="宋体" w:eastAsia="宋体" w:cs="宋体"/>
          <w:i w:val="0"/>
          <w:color w:val="auto"/>
          <w:sz w:val="21"/>
          <w:szCs w:val="21"/>
          <w:highlight w:val="none"/>
          <w:u w:val="single"/>
          <w:shd w:val="clear" w:color="auto" w:fill="ffffff"/>
        </w:rPr>
        <w:t xml:space="preserve">（产品名称2）</w:t>
      </w:r>
      <w:r>
        <w:rPr>
          <w:rFonts w:hint="eastAsia" w:ascii="宋体" w:hAnsi="宋体" w:eastAsia="宋体" w:cs="宋体"/>
          <w:color w:val="auto"/>
          <w:sz w:val="21"/>
          <w:szCs w:val="21"/>
          <w:highlight w:val="none"/>
          <w:shd w:val="clear" w:color="auto" w:fill="ffffff"/>
        </w:rPr>
        <w:t xml:space="preserve">的</w:t>
      </w:r>
      <w:r>
        <w:rPr>
          <w:rStyle w:val="819"/>
          <w:rFonts w:hint="eastAsia" w:ascii="宋体" w:hAnsi="宋体" w:eastAsia="宋体" w:cs="宋体"/>
          <w:i w:val="0"/>
          <w:color w:val="auto"/>
          <w:sz w:val="21"/>
          <w:szCs w:val="21"/>
          <w:highlight w:val="none"/>
          <w:u w:val="single"/>
          <w:shd w:val="clear" w:color="auto" w:fill="ffffff"/>
        </w:rPr>
        <w:t xml:space="preserve">（关键组件）</w:t>
      </w:r>
      <w:r>
        <w:rPr>
          <w:rFonts w:hint="eastAsia" w:ascii="宋体" w:hAnsi="宋体" w:eastAsia="宋体" w:cs="宋体"/>
          <w:color w:val="auto"/>
          <w:sz w:val="21"/>
          <w:szCs w:val="21"/>
          <w:highlight w:val="none"/>
          <w:shd w:val="clear" w:color="auto" w:fill="ffffff"/>
        </w:rPr>
        <w:t xml:space="preserve">在中国境内生产。</w:t>
      </w:r>
      <w:r>
        <w:rPr>
          <w:rStyle w:val="819"/>
          <w:rFonts w:hint="eastAsia" w:ascii="宋体" w:hAnsi="宋体" w:eastAsia="宋体" w:cs="宋体"/>
          <w:i w:val="0"/>
          <w:color w:val="auto"/>
          <w:sz w:val="21"/>
          <w:szCs w:val="21"/>
          <w:highlight w:val="none"/>
          <w:u w:val="single"/>
          <w:shd w:val="clear" w:color="auto" w:fill="ffffff"/>
        </w:rPr>
        <w:t xml:space="preserve">（产品名称1）</w:t>
      </w:r>
      <w:r>
        <w:rPr>
          <w:rFonts w:hint="eastAsia" w:ascii="宋体" w:hAnsi="宋体" w:eastAsia="宋体" w:cs="宋体"/>
          <w:color w:val="auto"/>
          <w:sz w:val="21"/>
          <w:szCs w:val="21"/>
          <w:highlight w:val="none"/>
          <w:shd w:val="clear" w:color="auto" w:fill="ffffff"/>
        </w:rPr>
        <w:t xml:space="preserve">的</w:t>
      </w:r>
      <w:r>
        <w:rPr>
          <w:rStyle w:val="819"/>
          <w:rFonts w:hint="eastAsia" w:ascii="宋体" w:hAnsi="宋体" w:eastAsia="宋体" w:cs="宋体"/>
          <w:i w:val="0"/>
          <w:color w:val="auto"/>
          <w:sz w:val="21"/>
          <w:szCs w:val="21"/>
          <w:highlight w:val="none"/>
          <w:u w:val="single"/>
          <w:shd w:val="clear" w:color="auto" w:fill="ffffff"/>
        </w:rPr>
        <w:t xml:space="preserve">（关键工序）</w:t>
      </w:r>
      <w:r>
        <w:rPr>
          <w:rFonts w:hint="eastAsia" w:ascii="宋体" w:hAnsi="宋体" w:eastAsia="宋体" w:cs="宋体"/>
          <w:color w:val="auto"/>
          <w:sz w:val="21"/>
          <w:szCs w:val="21"/>
          <w:highlight w:val="none"/>
          <w:shd w:val="clear" w:color="auto" w:fill="ffffff"/>
        </w:rPr>
        <w:t xml:space="preserve">在中国境内完成。</w:t>
      </w:r>
      <w:r/>
    </w:p>
    <w:p>
      <w:pPr>
        <w:pStyle w:val="815"/>
        <w:ind w:firstLine="420"/>
        <w:spacing w:before="30" w:beforeAutospacing="0" w:after="3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w:t>
      </w:r>
      <w:r/>
    </w:p>
    <w:p>
      <w:pPr>
        <w:pStyle w:val="815"/>
        <w:ind w:firstLine="420"/>
        <w:spacing w:before="30" w:beforeAutospacing="0" w:after="3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本公司（单位）对上述声明内容的真实性负责。如有虚假，愿承担相应法律责任。</w:t>
      </w:r>
      <w:r/>
    </w:p>
    <w:p>
      <w:pPr>
        <w:pStyle w:val="815"/>
        <w:spacing w:before="30" w:beforeAutospacing="0" w:after="3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15"/>
        <w:ind w:right="480" w:firstLine="3255"/>
        <w:spacing w:before="30" w:beforeAutospacing="0" w:after="3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公司（单位）名称（盖章）：　        </w:t>
      </w:r>
      <w:r/>
    </w:p>
    <w:p>
      <w:pPr>
        <w:pStyle w:val="815"/>
        <w:jc w:val="center"/>
        <w:spacing w:before="30" w:beforeAutospacing="0" w:after="3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                                日期：　   年　  月　  日         </w:t>
      </w:r>
      <w:r/>
    </w:p>
    <w:p>
      <w:pPr>
        <w:pStyle w:val="815"/>
        <w:spacing w:before="30" w:beforeAutospacing="0" w:after="3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__________________</w:t>
      </w:r>
      <w:r/>
    </w:p>
    <w:p>
      <w:pPr>
        <w:pStyle w:val="815"/>
        <w:spacing w:before="30" w:beforeAutospacing="0" w:after="3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1.产品如有型号，请在“产品名称”栏一并填写。</w:t>
      </w:r>
      <w:r/>
    </w:p>
    <w:p>
      <w:pPr>
        <w:pStyle w:val="815"/>
        <w:spacing w:before="30" w:beforeAutospacing="0" w:after="3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2.生产厂名与厂址应与生产厂营业执照载明的相关信息保持一致。</w:t>
      </w:r>
      <w:r/>
    </w:p>
    <w:p>
      <w:pPr>
        <w:pStyle w:val="815"/>
        <w:spacing w:before="30" w:beforeAutospacing="0" w:after="3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3.该产品的中国境内生产的组件成本占比相关要求实施前，“规定比例”栏可不填，下同。</w:t>
      </w:r>
      <w:r/>
    </w:p>
    <w:p>
      <w:pPr>
        <w:pStyle w:val="815"/>
        <w:spacing w:before="30" w:beforeAutospacing="0" w:after="3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4.该产品的关键组件要求实施前，“关键组件”栏可不填，下同。</w:t>
      </w:r>
      <w:r/>
    </w:p>
    <w:p>
      <w:pPr>
        <w:pStyle w:val="815"/>
        <w:spacing w:before="30" w:beforeAutospacing="0" w:after="30" w:afterAutospacing="0" w:line="0" w:lineRule="atLeast"/>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5.该产品的关键工序要求实施前，“关键工序”栏可不填，下同。</w:t>
      </w:r>
      <w:r/>
    </w:p>
    <w:p>
      <w:pPr>
        <w:jc w:val="left"/>
        <w:spacing w:line="360" w:lineRule="auto"/>
        <w:rPr>
          <w:rFonts w:hint="eastAsia" w:ascii="宋体" w:hAnsi="宋体" w:cs="宋体"/>
          <w:color w:val="auto"/>
          <w:spacing w:val="6"/>
          <w:sz w:val="21"/>
          <w:szCs w:val="21"/>
          <w:highlight w:val="none"/>
        </w:rPr>
      </w:pPr>
      <w:r>
        <w:rPr>
          <w:rFonts w:hint="eastAsia" w:ascii="宋体" w:hAnsi="宋体" w:eastAsia="宋体" w:cs="宋体"/>
          <w:color w:val="auto"/>
          <w:sz w:val="21"/>
          <w:szCs w:val="21"/>
          <w:highlight w:val="none"/>
          <w:shd w:val="clear" w:color="auto" w:fill="ffffff"/>
        </w:rPr>
        <w:t xml:space="preserve">6.用斜线划除的地方无需填写。</w:t>
      </w:r>
      <w:r/>
    </w:p>
    <w:p>
      <w:pPr>
        <w:spacing w:line="360" w:lineRule="auto"/>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480"/>
        <w:spacing w:line="360" w:lineRule="auto"/>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480"/>
        <w:spacing w:line="360" w:lineRule="auto"/>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480"/>
        <w:spacing w:line="360" w:lineRule="auto"/>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480"/>
        <w:spacing w:line="360" w:lineRule="auto"/>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480"/>
        <w:spacing w:line="360" w:lineRule="auto"/>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480"/>
        <w:spacing w:line="360" w:lineRule="auto"/>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480"/>
        <w:spacing w:line="360" w:lineRule="auto"/>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480"/>
        <w:spacing w:line="360" w:lineRule="auto"/>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480"/>
        <w:spacing w:line="360" w:lineRule="auto"/>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480"/>
        <w:spacing w:line="360" w:lineRule="auto"/>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480"/>
        <w:spacing w:line="360" w:lineRule="auto"/>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480"/>
        <w:spacing w:line="360" w:lineRule="auto"/>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jc w:val="left"/>
        <w:spacing w:line="360" w:lineRule="auto"/>
        <w:rPr>
          <w:rFonts w:ascii="宋体" w:hAnsi="宋体" w:cs="宋体"/>
          <w:b/>
          <w:color w:val="auto"/>
          <w:szCs w:val="21"/>
          <w:highlight w:val="none"/>
        </w:rPr>
      </w:pPr>
      <w:r>
        <w:rPr>
          <w:rFonts w:hint="eastAsia" w:ascii="宋体" w:hAnsi="宋体" w:cs="宋体"/>
          <w:b/>
          <w:bCs/>
          <w:color w:val="auto"/>
          <w:spacing w:val="6"/>
          <w:szCs w:val="21"/>
          <w:highlight w:val="none"/>
          <w:lang w:val="en-US" w:eastAsia="zh-CN"/>
        </w:rPr>
        <w:t xml:space="preserve">附件19：</w:t>
      </w:r>
      <w:r>
        <w:rPr>
          <w:rFonts w:hint="eastAsia" w:ascii="宋体" w:hAnsi="宋体" w:cs="宋体"/>
          <w:b/>
          <w:bCs/>
          <w:color w:val="auto"/>
          <w:spacing w:val="6"/>
          <w:szCs w:val="21"/>
          <w:highlight w:val="none"/>
        </w:rPr>
        <w:t xml:space="preserve">政府采购合同信用融资政策告知函（本附件无需签章放置投标文件中）</w:t>
      </w:r>
      <w:r/>
    </w:p>
    <w:p>
      <w:pPr>
        <w:spacing w:line="360" w:lineRule="auto"/>
        <w:rPr>
          <w:rFonts w:ascii="宋体" w:hAnsi="宋体" w:cs="宋体"/>
          <w:b/>
          <w:color w:val="auto"/>
          <w:szCs w:val="21"/>
          <w:highlight w:val="none"/>
        </w:rPr>
      </w:pPr>
      <w:r>
        <w:rPr>
          <w:rFonts w:ascii="宋体" w:hAnsi="宋体" w:cs="宋体"/>
          <w:b/>
          <w:color w:val="auto"/>
          <w:szCs w:val="21"/>
          <w:highlight w:val="none"/>
        </w:rPr>
      </w:r>
      <w:r/>
    </w:p>
    <w:p>
      <w:pPr>
        <w:jc w:val="center"/>
        <w:spacing w:line="360" w:lineRule="auto"/>
        <w:rPr>
          <w:rFonts w:ascii="宋体" w:hAnsi="宋体" w:cs="宋体"/>
          <w:b/>
          <w:color w:val="auto"/>
          <w:szCs w:val="21"/>
          <w:highlight w:val="none"/>
        </w:rPr>
      </w:pPr>
      <w:r>
        <w:rPr>
          <w:rFonts w:hint="eastAsia" w:ascii="宋体" w:hAnsi="宋体" w:cs="宋体"/>
          <w:b/>
          <w:bCs/>
          <w:color w:val="auto"/>
          <w:spacing w:val="6"/>
          <w:szCs w:val="21"/>
          <w:highlight w:val="none"/>
        </w:rPr>
        <w:t xml:space="preserve">政府采购合同信用融资政策告知函</w:t>
      </w:r>
      <w:r/>
    </w:p>
    <w:p>
      <w:pPr>
        <w:spacing w:line="360" w:lineRule="auto"/>
        <w:rPr>
          <w:rFonts w:ascii="宋体" w:hAnsi="宋体" w:cs="宋体"/>
          <w:b/>
          <w:color w:val="auto"/>
          <w:szCs w:val="21"/>
          <w:highlight w:val="none"/>
        </w:rPr>
      </w:pPr>
      <w:r>
        <w:rPr>
          <w:rFonts w:ascii="宋体" w:hAnsi="宋体" w:cs="宋体"/>
          <w:b/>
          <w:color w:val="auto"/>
          <w:szCs w:val="21"/>
          <w:highlight w:val="none"/>
        </w:rPr>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各政府采购供应商:</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欢迎贵公司参加苏州市政府采购活动！</w:t>
      </w:r>
      <w:r/>
    </w:p>
    <w:p>
      <w:pPr>
        <w:ind w:firstLine="480"/>
        <w:spacing w:line="360" w:lineRule="auto"/>
        <w:rPr>
          <w:rFonts w:hint="eastAsia" w:ascii="宋体" w:hAnsi="宋体" w:eastAsia="宋体" w:cs="宋体"/>
          <w:sz w:val="24"/>
          <w:highlight w:val="none"/>
          <w:lang w:bidi="ar"/>
        </w:rPr>
      </w:pPr>
      <w:r>
        <w:rPr>
          <w:rFonts w:hint="eastAsia" w:ascii="宋体" w:hAnsi="宋体" w:cs="宋体"/>
          <w:color w:val="auto"/>
          <w:sz w:val="21"/>
          <w:szCs w:val="21"/>
          <w:highlight w:val="none"/>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p>
      <w:pPr>
        <w:ind w:firstLine="480"/>
        <w:spacing w:line="360" w:lineRule="auto"/>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480"/>
        <w:spacing w:line="360" w:lineRule="auto"/>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spacing w:line="360" w:lineRule="auto"/>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480"/>
        <w:spacing w:line="360" w:lineRule="auto"/>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jc w:val="center"/>
        <w:spacing w:line="360" w:lineRule="auto"/>
        <w:rPr>
          <w:rFonts w:hint="eastAsia" w:ascii="宋体" w:hAnsi="宋体" w:eastAsia="宋体" w:cs="宋体"/>
          <w:spacing w:val="20"/>
          <w:sz w:val="32"/>
          <w:szCs w:val="32"/>
          <w:highlight w:val="none"/>
        </w:rPr>
      </w:pPr>
      <w:r>
        <w:rPr>
          <w:rFonts w:hint="eastAsia" w:ascii="宋体" w:hAnsi="宋体" w:eastAsia="宋体" w:cs="宋体"/>
          <w:b/>
          <w:bCs/>
          <w:spacing w:val="20"/>
          <w:sz w:val="32"/>
          <w:szCs w:val="32"/>
          <w:highlight w:val="none"/>
        </w:rPr>
        <w:br w:type="page" w:clear="all"/>
      </w:r>
      <w:r>
        <w:rPr>
          <w:rFonts w:hint="eastAsia" w:ascii="宋体" w:hAnsi="宋体" w:eastAsia="宋体" w:cs="宋体"/>
          <w:b/>
          <w:bCs/>
          <w:spacing w:val="20"/>
          <w:sz w:val="32"/>
          <w:szCs w:val="32"/>
          <w:highlight w:val="none"/>
        </w:rPr>
        <w:t xml:space="preserve">第四章 招标书</w:t>
      </w:r>
      <w:r/>
    </w:p>
    <w:p>
      <w:pPr>
        <w:ind w:firstLine="420"/>
        <w:keepLines w:val="0"/>
        <w:keepNext w:val="0"/>
        <w:pageBreakBefore w:val="0"/>
        <w:spacing w:line="360" w:lineRule="auto"/>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苏州市天美达招投标咨询服务有限公司受</w:t>
      </w:r>
      <w:r>
        <w:rPr>
          <w:rFonts w:hint="eastAsia" w:ascii="宋体" w:hAnsi="宋体" w:cs="宋体"/>
          <w:sz w:val="21"/>
          <w:szCs w:val="21"/>
          <w:highlight w:val="none"/>
          <w:lang w:val="zh-CN"/>
        </w:rPr>
        <w:t xml:space="preserve">苏州市吴江区人民政府松陵街道办事处</w:t>
      </w:r>
      <w:r>
        <w:rPr>
          <w:rFonts w:hint="eastAsia" w:ascii="宋体" w:hAnsi="宋体" w:eastAsia="宋体" w:cs="宋体"/>
          <w:sz w:val="21"/>
          <w:szCs w:val="21"/>
          <w:highlight w:val="none"/>
          <w:lang w:val="zh-CN"/>
        </w:rPr>
        <w:t xml:space="preserve">的委托，就其所需采购的</w:t>
      </w:r>
      <w:r>
        <w:rPr>
          <w:rFonts w:hint="eastAsia" w:ascii="宋体" w:hAnsi="宋体" w:cs="宋体"/>
          <w:sz w:val="21"/>
          <w:szCs w:val="21"/>
          <w:highlight w:val="none"/>
          <w:lang w:val="zh-CN"/>
        </w:rPr>
        <w:t xml:space="preserve">灭火救援器材装备采购</w:t>
      </w:r>
      <w:r>
        <w:rPr>
          <w:rFonts w:hint="eastAsia" w:ascii="宋体" w:hAnsi="宋体" w:eastAsia="宋体" w:cs="宋体"/>
          <w:sz w:val="21"/>
          <w:szCs w:val="21"/>
          <w:highlight w:val="none"/>
          <w:lang w:val="zh-CN"/>
        </w:rPr>
        <w:t xml:space="preserve">进行国内公开招标采购。欢迎符合相关条件的投标单位前来参加投标。</w:t>
      </w:r>
      <w:r/>
    </w:p>
    <w:p>
      <w:pPr>
        <w:pStyle w:val="1010"/>
        <w:ind w:firstLine="420"/>
        <w:keepLines w:val="0"/>
        <w:keepNext w:val="0"/>
        <w:pageBreakBefore w:val="0"/>
        <w:spacing w:line="360"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一、招标项目概况：</w:t>
      </w:r>
      <w:r/>
    </w:p>
    <w:p>
      <w:pPr>
        <w:pStyle w:val="1010"/>
        <w:ind w:firstLine="420"/>
        <w:keepLines w:val="0"/>
        <w:keepNext w:val="0"/>
        <w:pageBreakBefore w:val="0"/>
        <w:spacing w:line="360"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1.招标编号：</w:t>
      </w:r>
      <w:r>
        <w:rPr>
          <w:rFonts w:hint="eastAsia" w:cs="宋体"/>
          <w:sz w:val="21"/>
          <w:szCs w:val="21"/>
          <w:highlight w:val="none"/>
          <w:u w:val="none"/>
          <w:lang w:val="en-US" w:eastAsia="zh-CN"/>
        </w:rPr>
        <w:t xml:space="preserve">JSZC-320509-SZST-G2026-0022</w:t>
      </w:r>
      <w:r/>
    </w:p>
    <w:p>
      <w:pPr>
        <w:pStyle w:val="1010"/>
        <w:ind w:firstLine="420"/>
        <w:keepLines w:val="0"/>
        <w:keepNext w:val="0"/>
        <w:pageBreakBefore w:val="0"/>
        <w:spacing w:line="360"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2.招标项目名称：</w:t>
      </w:r>
      <w:r>
        <w:rPr>
          <w:rFonts w:hint="eastAsia" w:ascii="宋体" w:hAnsi="宋体" w:eastAsia="宋体" w:cs="宋体"/>
          <w:sz w:val="21"/>
          <w:szCs w:val="21"/>
          <w:highlight w:val="none"/>
          <w:u w:val="none"/>
          <w:lang w:val="zh-CN" w:eastAsia="zh-CN"/>
        </w:rPr>
        <w:t xml:space="preserve">灭火救援器材装备采购</w:t>
      </w:r>
      <w:r/>
    </w:p>
    <w:p>
      <w:pPr>
        <w:pStyle w:val="1010"/>
        <w:ind w:firstLine="420"/>
        <w:keepLines w:val="0"/>
        <w:keepNext w:val="0"/>
        <w:pageBreakBefore w:val="0"/>
        <w:spacing w:line="360"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3.预算金额（最高限价）：壹佰陆拾伍万元整（￥1650000.00元）</w:t>
      </w:r>
      <w:r/>
    </w:p>
    <w:p>
      <w:pPr>
        <w:pStyle w:val="1010"/>
        <w:ind w:firstLine="420"/>
        <w:keepLines w:val="0"/>
        <w:keepNext w:val="0"/>
        <w:pageBreakBefore w:val="0"/>
        <w:spacing w:line="360"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4.供货时间：</w:t>
      </w:r>
      <w:r>
        <w:rPr>
          <w:rFonts w:hint="eastAsia" w:cs="宋体"/>
          <w:sz w:val="21"/>
          <w:szCs w:val="21"/>
          <w:highlight w:val="none"/>
          <w:u w:val="none"/>
          <w:lang w:val="en-US" w:eastAsia="zh-CN"/>
        </w:rPr>
        <w:t xml:space="preserve">自合同签订生效后45天内完成全部采购内容的供货安装调试并交付正常使用；消防设备质保2年，免费保修期为自货物验收合格之日起算。</w:t>
      </w:r>
      <w:r/>
    </w:p>
    <w:p>
      <w:pPr>
        <w:pStyle w:val="1010"/>
        <w:ind w:firstLine="420"/>
        <w:keepLines w:val="0"/>
        <w:keepNext w:val="0"/>
        <w:pageBreakBefore w:val="0"/>
        <w:spacing w:line="360" w:lineRule="auto"/>
        <w:widowControl w:val="off"/>
        <w:rPr>
          <w:rFonts w:hint="eastAsia" w:ascii="宋体" w:hAnsi="宋体" w:eastAsia="宋体" w:cs="宋体"/>
          <w:sz w:val="21"/>
          <w:szCs w:val="21"/>
          <w:highlight w:val="none"/>
          <w:u w:val="none"/>
          <w:lang w:val="en-US" w:eastAsia="zh-CN"/>
        </w:rPr>
      </w:pPr>
      <w:r>
        <w:rPr>
          <w:rFonts w:hint="eastAsia" w:cs="宋体"/>
          <w:sz w:val="21"/>
          <w:szCs w:val="21"/>
          <w:highlight w:val="none"/>
          <w:u w:val="none"/>
          <w:lang w:val="en-US" w:eastAsia="zh-CN"/>
        </w:rPr>
        <w:t xml:space="preserve">5</w:t>
      </w:r>
      <w:r>
        <w:rPr>
          <w:rFonts w:hint="eastAsia" w:ascii="宋体" w:hAnsi="宋体" w:eastAsia="宋体" w:cs="宋体"/>
          <w:sz w:val="21"/>
          <w:szCs w:val="21"/>
          <w:highlight w:val="none"/>
          <w:u w:val="none"/>
          <w:lang w:val="en-US" w:eastAsia="zh-CN"/>
        </w:rPr>
        <w:t xml:space="preserve">.交货地点：甲方指定地点。</w:t>
      </w:r>
      <w:r/>
    </w:p>
    <w:p>
      <w:pPr>
        <w:pStyle w:val="1010"/>
        <w:ind w:firstLine="420"/>
        <w:keepLines w:val="0"/>
        <w:keepNext w:val="0"/>
        <w:pageBreakBefore w:val="0"/>
        <w:spacing w:line="360"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二、采购清单及产品具体技术要求</w:t>
      </w:r>
      <w:r>
        <w:rPr>
          <w:rFonts w:hint="eastAsia" w:cs="宋体"/>
          <w:sz w:val="21"/>
          <w:szCs w:val="21"/>
          <w:highlight w:val="none"/>
          <w:u w:val="none"/>
          <w:lang w:val="en-US" w:eastAsia="zh-CN"/>
        </w:rPr>
        <w:t xml:space="preserve">：</w:t>
      </w:r>
      <w:r/>
    </w:p>
    <w:tbl>
      <w:tblPr>
        <w:tblStyle w:val="790"/>
        <w:tblW w:w="8429"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26"/>
        <w:gridCol w:w="881"/>
        <w:gridCol w:w="699"/>
        <w:gridCol w:w="902"/>
        <w:gridCol w:w="5421"/>
      </w:tblGrid>
      <w:tr>
        <w:trPr>
          <w:trHeight w:val="648"/>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5421"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技术参数</w:t>
            </w:r>
            <w:r/>
          </w:p>
        </w:tc>
      </w:tr>
      <w:tr>
        <w:trPr>
          <w:trHeight w:val="90"/>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多功能水枪</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5421"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Style w:val="1133"/>
                <w:rFonts w:hint="eastAsia" w:ascii="宋体" w:hAnsi="宋体" w:eastAsia="宋体" w:cs="宋体"/>
                <w:color w:val="auto"/>
                <w:sz w:val="21"/>
                <w:szCs w:val="21"/>
                <w:highlight w:val="none"/>
                <w:lang w:val="en-US" w:eastAsia="zh-CN" w:bidi="ar"/>
              </w:rPr>
              <w:t xml:space="preserve">1、符合GB8181-2005《消防水枪》  </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2、枪体：优质锻造铝合金，经热处理及硬质阳极氧化防腐，满足强度及防腐要求，整体阳极硬质氧化防腐。</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3、手柄：PA6尼龙注塑成型  </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4、阀球：铝合金精密加工，阳极硬质氧化处理</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5、喷雾齿：铝合金锻造，表面阳极氧硬质化处理  </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6、操作杆：∩型操作杆，控制水流开关</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7、流量调节：2档流量可调（2.5/4/L/s）</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8、额定压力：≥0.60MPa</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9、喷雾角度：0°-120°可调</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10、射程：≥27m  </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11、整体重量：≤1.2kg  </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12、50进水口360°旋转，消除水带扭转打结  </w:t>
            </w:r>
            <w:r/>
          </w:p>
        </w:tc>
      </w:tr>
      <w:tr>
        <w:trPr>
          <w:trHeight w:val="2564"/>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伸缩直流水枪</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5421"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Style w:val="1133"/>
                <w:rFonts w:hint="eastAsia" w:ascii="宋体" w:hAnsi="宋体" w:eastAsia="宋体" w:cs="宋体"/>
                <w:color w:val="auto"/>
                <w:sz w:val="21"/>
                <w:szCs w:val="21"/>
                <w:highlight w:val="none"/>
                <w:lang w:val="en-US" w:eastAsia="zh-CN" w:bidi="ar"/>
              </w:rPr>
              <w:t xml:space="preserve">1、符合GB8181-2005《消防水枪》标准；</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2、材质：锻造铝镁合金，黑色阳极化处理</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3、流量：7.5×（1±8%）L/s；</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4、射程：≥30m；</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5、★尺寸：收缩状态：≤280mm；伸展状态：≤520mm；第一节：133±2mm；第二节：130±2mm；第三节：127±2mm</w:t>
            </w:r>
            <w:r>
              <w:rPr>
                <w:rStyle w:val="1133"/>
                <w:rFonts w:hint="eastAsia" w:ascii="宋体" w:hAnsi="宋体" w:cs="宋体"/>
                <w:color w:val="auto"/>
                <w:sz w:val="21"/>
                <w:szCs w:val="21"/>
                <w:highlight w:val="none"/>
                <w:lang w:val="en-US" w:eastAsia="zh-CN" w:bidi="ar"/>
              </w:rPr>
              <w:t xml:space="preserve">；</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6、重量:≤750g</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7、可喷射A类泡沫.</w:t>
            </w:r>
            <w:r/>
          </w:p>
        </w:tc>
      </w:tr>
      <w:tr>
        <w:trPr>
          <w:trHeight w:val="3522"/>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测压水枪</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5421"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1、符合GB 8181-2005《消防水枪》标准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2、水枪零部件整体具备铝镁合金材质，表面阳极氧化防腐处理；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3、枪管整流设计，内置一体式整流板，确保水流直线度；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4、阀门具备铝镁合金减压式T型通孔球阀，黑色阳极氧化防腐处理，阀体通水孔径≥45mm；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5、阀体具备整体锻造成型，阳极氧化防腐处理；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6、双压力表显示结构，通过阀门关闭与开始，实时监测静态与动态水压，水枪关闭状态下可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检测静态压力，水枪开启状态下可检测动态射流水压，在不更换水枪的情况下，可同步实</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现出水灭火操作；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7、进水口具备65卡式雄接口，通水口径≥57mm；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8、总长度≤575mm；总重量≤1.6kg；耐压强度≥2.5MPa；流量≥7.5L/s，射程≥28m，喷射压力≥0.35MPa，操作力矩≤7.2N.m；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9、密封元件具备耐腐蚀、耐高温特性的高密封结构，可在+250℃至-180℃的温度下保证密封性，中性盐雾试验≥300小时；</w:t>
            </w:r>
            <w:r/>
          </w:p>
        </w:tc>
      </w:tr>
      <w:tr>
        <w:trPr>
          <w:trHeight w:val="1095"/>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新能源汽车冷却装置</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ascii="宋体" w:hAnsi="宋体" w:eastAsia="宋体" w:cs="宋体"/>
                <w:sz w:val="24"/>
                <w:szCs w:val="24"/>
                <w:highlight w:val="none"/>
              </w:rPr>
              <w:t xml:space="preserve">台</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5421"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1、用途：该设备主要应用于新能源汽车的火灾扑救，特别是针对底盘电池组的降温灭火。</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2、整体尺寸（长*宽）：≥120cm*80cm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3、自带防高温万向轮，能够灵活移动到汽车底部快速启动实施灭火冷却。</w:t>
            </w:r>
            <w:r/>
          </w:p>
        </w:tc>
      </w:tr>
      <w:tr>
        <w:trPr>
          <w:trHeight w:val="481"/>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65卡转50母转换接口</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5421"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符合GB12514《消防接口》相关标准，接口具备锻造工艺及氧化处理。</w:t>
            </w:r>
            <w:r/>
          </w:p>
        </w:tc>
      </w:tr>
      <w:tr>
        <w:trPr>
          <w:trHeight w:val="3305"/>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20型65mm超轻水带（白色）</w:t>
            </w:r>
            <w:r>
              <w:rPr>
                <w:rFonts w:hint="eastAsia" w:ascii="宋体" w:hAnsi="宋体" w:cs="宋体"/>
                <w:i w:val="0"/>
                <w:iCs w:val="0"/>
                <w:color w:val="auto"/>
                <w:sz w:val="21"/>
                <w:szCs w:val="21"/>
                <w:highlight w:val="none"/>
                <w:u w:val="none"/>
                <w:lang w:val="en-US" w:eastAsia="zh-CN" w:bidi="ar"/>
              </w:rPr>
              <w:t xml:space="preserve">（核心产品）</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盘</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5421"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Style w:val="1133"/>
                <w:rFonts w:hint="eastAsia" w:ascii="宋体" w:hAnsi="宋体" w:eastAsia="宋体" w:cs="宋体"/>
                <w:color w:val="auto"/>
                <w:sz w:val="21"/>
                <w:szCs w:val="21"/>
                <w:highlight w:val="none"/>
                <w:lang w:val="en-US" w:eastAsia="zh-CN" w:bidi="ar"/>
              </w:rPr>
              <w:t xml:space="preserve">1、产品符合GB6246-2011《消防水带》标准要求。</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2、水带口径为65mm，每卷长度为20米，内衬材质采用聚氨酯材质，厚度均匀，表面光滑清洁，无褶皱，不渗水，不霉变，柔软轻便易卷缠，耐老化，水流阻力小，使用寿命长。</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3、标准工作压力≥2.0MPa，爆破压力≥7.8MPa，单位长度质量≤175g/m，延伸率≤0.2%，膨胀率≤1.4%，织物层与衬里附着强度≥33.5N/25MM,扯断伸长率≥425%，扯断强度≥55MPa，热空气老化：织物层与衬里附着强度≥111%，爆破压力≥93%。</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4、水带两头均配有65口径的锻造快速接口。带口缠绕铁丝为5道，水带和接口捆绑处有水带护皮保护以防损坏。</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5、外层材质具备高强度聚乙烯纤维丝材质，用经圆织机环形编织而成，具备耐压、耐磨、耐磨蚀、耐高低温、轻便柔软、易于清洗，使用寿命长等特点。</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6、水带一端具备生产企业名称、产品名称和规格、生产日期及经线纬线和衬里材料.印刷的相关信息且永不掉落。</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7、包装：使用编织袋、纸盒包装，包装结实牢固，便于搬运</w:t>
            </w:r>
            <w:r/>
          </w:p>
        </w:tc>
      </w:tr>
      <w:tr>
        <w:trPr>
          <w:trHeight w:val="96"/>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20型50mm水带 （蓝色）</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盘</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5421"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Style w:val="1133"/>
                <w:rFonts w:hint="eastAsia" w:ascii="宋体" w:hAnsi="宋体" w:eastAsia="宋体" w:cs="宋体"/>
                <w:color w:val="auto"/>
                <w:sz w:val="21"/>
                <w:szCs w:val="21"/>
                <w:highlight w:val="none"/>
                <w:lang w:val="en-US" w:eastAsia="zh-CN" w:bidi="ar"/>
              </w:rPr>
              <w:t xml:space="preserve">1、产品符合GB6246-2011《消防水带》标准要求。</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2、外层材质具备高强度涤纶长丝线，内衬材质具备聚氨酯（耐寒耐高温），厚度均匀，表面光滑清洁，无褶皱，不渗水，不霉变，柔软轻便易卷缠，耐老化，水流阻力小，使用寿命长。</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3、水带口径为（50-52）mm，长度：20米/盘。颜色：蓝色</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4、标准工作压力≥2.0MPa，爆破压力≥7.0MPa，单位长度质量≤225g/m，延伸率≤3.0%，膨胀率≤3.5%，织物层与衬里附着强度≥60N/25MM,扯断伸长率≥420%，扯断强度≥51MPa，热空气老化：织物层与衬里附着强度≥100%，爆破压力≥96%。</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5、水带两头均具有50口径锻造快速接口。带口缠绕铁丝为5道，水带和接口捆绑处有水带护皮保护以防损坏。</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6、水带一端具备生产企业名称、产品名称和规格、生产日期及经线纬线和衬里材料.印刷的相关信息且永不掉落。</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7、包装：使用编织袋包装，包装结实牢固，便于搬运。</w:t>
            </w:r>
            <w:r/>
          </w:p>
        </w:tc>
      </w:tr>
      <w:tr>
        <w:trPr>
          <w:trHeight w:val="429"/>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水带挂钩</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5421"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水带挂钩是由尼龙带、不锈钢挂钩组成。长度不小于50cm。</w:t>
            </w:r>
            <w:r/>
          </w:p>
        </w:tc>
      </w:tr>
      <w:tr>
        <w:trPr>
          <w:trHeight w:val="224"/>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水带包布</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5421"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1.产品材质：高强度涤纶长丝。</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2.用途：用于包裹消防水带破漏处。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3.组成：帆布带和金属夹钳等零件组成。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4.使用说明：将包布一端穿入夹钳中，夹牢即可。</w:t>
            </w:r>
            <w:r/>
          </w:p>
        </w:tc>
      </w:tr>
      <w:tr>
        <w:trPr>
          <w:trHeight w:val="1422"/>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消火栓扳手</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5421"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1、扳手头部内角设计，夹合有力，紧固，不易打滑，便于辅助消火栓的正常开启和关闭。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2、加强手柄设计使用杠杆原理，强度高，摔不断，表面耐磨损。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3、产品材质：采用烤漆工艺一体成型。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4、颜色：红色</w:t>
            </w:r>
            <w:r/>
          </w:p>
        </w:tc>
      </w:tr>
      <w:tr>
        <w:trPr>
          <w:trHeight w:val="3522"/>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多功能消火栓扳手</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5421"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多功能消火栓扳手，整体采用高强度铝合金打造，重量轻且坚固，具备多用途集合设计，具有消防斧、管牙接口扳手、内扣扳手、玻璃破碎器、泡沫桶十字内盖开启器、泡沫桶花盖开启器、安全带割刀、消防栓磁吸扳手、消防栓闷盖扳手、四合一电梯钥匙、绳索缓降、煤气阀扳手、油桶十字盖开启器等功能。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2、产品外形尺寸：≤500*230*100mm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3、整体材质：高强度铝合金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4、斧刃材质：刃口采用不锈钢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5、破窗头材质：破窗头采用硬质合金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6、表面处理：喷砂阳极氧化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7、工作温度:-40℃-220℃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8、D型扣抗拉强度：25KN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9、重量：≤2kg                                                 </w:t>
            </w:r>
            <w:r/>
          </w:p>
        </w:tc>
      </w:tr>
      <w:tr>
        <w:trPr>
          <w:trHeight w:val="5758"/>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65mm转50mm三分水器</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5421"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Style w:val="1133"/>
                <w:rFonts w:hint="eastAsia" w:ascii="宋体" w:hAnsi="宋体" w:eastAsia="宋体" w:cs="宋体"/>
                <w:color w:val="auto"/>
                <w:sz w:val="21"/>
                <w:szCs w:val="21"/>
                <w:highlight w:val="none"/>
                <w:lang w:val="en-US" w:eastAsia="zh-CN" w:bidi="ar"/>
              </w:rPr>
              <w:t xml:space="preserve">1、符合XF868-2010《分水器和集水器》</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2、主体材料：采用优质锻造铝合金</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3、进出水口：采用优质锻造铝合金</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4、表面处理：经热处理及硬质阳极氧化防腐，满足强度及防腐要求+硬质氧化+喷塑防腐</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5、阀芯：黄铜</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6、阀球：铝镁合金+硬质阳极氧化</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7、手柄：采用优质锻造铝合金</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8、密封性能：高性能聚四氟乙烯双密封结构</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9、进水口：KYKA65Z卡式雄进水口</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10、出水口：KYK50Z×3卡式雌出水口</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11、螺纹锁止结构：雄接口本体和推压环之间有螺纹锁止结构</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12、工作压力：≥2.5MPa，</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13、爆破强度：≥6.0MPa</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14、整体重量：≤5.4kg</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15、压力装置：压力表实时监测水压</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16、防自锁装置：锻造手柄下方装置有锁止机构，防止在高压过水使分水器内部形成涡流阀球自动关闭</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17、稳流装置：进水口稳流装置减少后座力、水锤现象及无腾空现象</w:t>
            </w:r>
            <w:r/>
          </w:p>
        </w:tc>
      </w:tr>
      <w:tr>
        <w:trPr>
          <w:trHeight w:val="4882"/>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65mm转50mm二分水器</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5421"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Style w:val="1133"/>
                <w:rFonts w:hint="eastAsia" w:ascii="宋体" w:hAnsi="宋体" w:eastAsia="宋体" w:cs="宋体"/>
                <w:color w:val="auto"/>
                <w:sz w:val="21"/>
                <w:szCs w:val="21"/>
                <w:highlight w:val="none"/>
                <w:lang w:val="en-US" w:eastAsia="zh-CN" w:bidi="ar"/>
              </w:rPr>
              <w:t xml:space="preserve">1、符合XF868-2010《分水器和集水器》</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2、主体材料：采用优质锻造铝合金</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3、进出水口：采用优质锻造铝合金</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4、表面处理：经热处理及硬质阳极氧化防腐，满足强度及防腐要求+硬质氧化+喷塑防腐</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5、阀芯：黄铜</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6、阀球：铝镁合金+硬质阳极氧化</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7、手柄：采用优质锻造铝合金</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8、密封性能：高性能聚四氟乙烯双密封结构</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9、进水口：KYKA65Z卡式雄进水口</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10、出水口：KYK50Z×2卡式雌出水口</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11、螺纹锁止结构：雄接口本体和推压环之间有螺纹锁止结构</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12、工作压力：≥2.5MPa，</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13、爆破强度：≥6.0MPa</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14、整体重量：≤3.6kg</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15、压力装置：压力表实时监测水压</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16、防自锁装置：锻造手柄下方装置有锁止机构，防止在高压过水使分水器内部形成涡流阀球自动关闭</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17、稳流装置：进水口稳流装置减少后座力、水锤现象及无腾空现象</w:t>
            </w:r>
            <w:r/>
          </w:p>
        </w:tc>
      </w:tr>
      <w:tr>
        <w:trPr>
          <w:trHeight w:val="4800"/>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背负式机动消防泵</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5421"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Style w:val="1133"/>
                <w:rFonts w:hint="eastAsia" w:ascii="宋体" w:hAnsi="宋体" w:eastAsia="宋体" w:cs="宋体"/>
                <w:color w:val="auto"/>
                <w:sz w:val="21"/>
                <w:szCs w:val="21"/>
                <w:highlight w:val="none"/>
                <w:lang w:val="en-US" w:eastAsia="zh-CN" w:bidi="ar"/>
              </w:rPr>
              <w:t xml:space="preserve">1、电路高温保护：具有过热、高温保护自动关机功能；</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2、框架保护形式：全方位高强度不锈钢防护型框架，水泵与框架、框架与地面间装有双层减振胶垫；</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3、控制面板：不锈钢面板，尺寸≤420mm×280mm×170mm</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4、发动机：2冲程侧排气水冷却发动机； 裸机重量：≤12kg； 汽缸排量：≤85CC；最大功率：≥10HP； 综合油耗：≤2.9L/小时；</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5、水泵结构：双级不锈钢叶轮离心泵，具有减震支持结构；最大压力：≥2.20Mpa；最大扬程：≥220米（流量为零）；最大流量：≥每秒4.6升；最大射程：≥33米；吸水深度：≥7米；</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6、冷却方式：低压平衡管强制水冷却及空气复合冷却；</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7、控制方式：超越式内置电启动、具备无接触感应式控制启停功能，一体化启动马达；</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8、启动方式：电磁感应式启动</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9、发电电压：≥14.5V，具有随机自充电功能；启动电池：超轻锂电池；电池重量：≤460g；</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10、出水尺寸：40快速接口；进水尺寸：内40MM，外50mm，65快速公接口；</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11、引水手泵形式：防漏气不锈钢手泵；</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12、油箱容量：≤12升；显示功能：具有压力显示功能</w:t>
            </w:r>
            <w:r>
              <w:rPr>
                <w:rStyle w:val="1133"/>
                <w:rFonts w:hint="eastAsia" w:ascii="宋体" w:hAnsi="宋体" w:eastAsia="宋体" w:cs="宋体"/>
                <w:color w:val="auto"/>
                <w:sz w:val="21"/>
                <w:szCs w:val="21"/>
                <w:highlight w:val="none"/>
                <w:lang w:val="en-US" w:eastAsia="zh-CN" w:bidi="ar"/>
              </w:rPr>
              <w:br/>
            </w:r>
            <w:r>
              <w:rPr>
                <w:rStyle w:val="1123"/>
                <w:rFonts w:hint="eastAsia" w:ascii="宋体" w:hAnsi="宋体" w:eastAsia="宋体" w:cs="宋体"/>
                <w:color w:val="auto"/>
                <w:sz w:val="21"/>
                <w:szCs w:val="21"/>
                <w:highlight w:val="none"/>
                <w:lang w:val="en-US" w:eastAsia="zh-CN" w:bidi="ar"/>
              </w:rPr>
              <w:t xml:space="preserve">13、具备主机1套、油箱及油管1套、油箱背包1个、维修工具1套、水泵便携背包1个、启动电池1个、电池充电器1个、吸水管及接头口径50mm1套、铝合金底阀带有止回阀内径50mm1个，锻造两分水器40快速接口1个，口径40mm快速母接口1个、内螺纹50mm快速公接口1个</w:t>
            </w:r>
            <w:r/>
          </w:p>
        </w:tc>
      </w:tr>
      <w:tr>
        <w:trPr>
          <w:trHeight w:val="438"/>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背负式泡沫灭火器</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5421"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Style w:val="1133"/>
                <w:rFonts w:hint="eastAsia" w:ascii="宋体" w:hAnsi="宋体" w:eastAsia="宋体" w:cs="宋体"/>
                <w:color w:val="auto"/>
                <w:sz w:val="21"/>
                <w:szCs w:val="21"/>
                <w:highlight w:val="none"/>
                <w:lang w:val="en-US" w:eastAsia="zh-CN" w:bidi="ar"/>
              </w:rPr>
              <w:t xml:space="preserve">1、整机重量≤35公斤</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2、装置药剂填充容量≥18升</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3、喷射距离≥10m</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4、连续喷射时间≥100s</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5、灭火等级、种类：适用于多种类火灾， 灭火等级≥4A/144B</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6、装置可以以泡沫、水雾、直流等形态进行喷射作业</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7、装备机体结构与驱动方式:机体驱动方式为全气动驱动且承装药剂的主料仓不承压，方便随时切换药剂快速重装使用; </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8、发泡倍数≥5</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★9、装置洗消清除药剂后具备在新能源火灾处置过程中产生的主要化学毒物（甲烷、二氧化硫、硫化氢、氯磷酸二苯酯）进行洗消清洁</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10、随装置提供不少于装置核定容量下的不少于4次的可重复填充的灭火药剂，不低于2次的毒物洗消清除药剂</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11、呼吸防护性能:符合XF124-2013《正压式消防空气呼吸器》标准；</w:t>
            </w:r>
            <w:r/>
          </w:p>
        </w:tc>
      </w:tr>
      <w:tr>
        <w:trPr>
          <w:trHeight w:val="7993"/>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灭火防护服</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5421"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Style w:val="1133"/>
                <w:rFonts w:hint="eastAsia" w:ascii="宋体" w:hAnsi="宋体" w:eastAsia="宋体" w:cs="宋体"/>
                <w:color w:val="auto"/>
                <w:sz w:val="21"/>
                <w:szCs w:val="21"/>
                <w:highlight w:val="none"/>
                <w:lang w:val="en-US" w:eastAsia="zh-CN" w:bidi="ar"/>
              </w:rPr>
              <w:t xml:space="preserve">1、符合XF10-2014《消防员灭火防护服》标准。</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2、结构：由外层、防水透气隔热层、舒适层三层结构组成，具备阻燃、防水、透气、隔热等性能。外层采用芳纶面料，防水透气隔热层采用PTFE防水透气层，舒适层采用芳粘混纺面料，并配备救生拖拉带。</w:t>
            </w:r>
            <w:r>
              <w:rPr>
                <w:rStyle w:val="1123"/>
                <w:rFonts w:hint="eastAsia" w:ascii="宋体" w:hAnsi="宋体" w:eastAsia="宋体" w:cs="宋体"/>
                <w:color w:val="auto"/>
                <w:sz w:val="21"/>
                <w:szCs w:val="21"/>
                <w:highlight w:val="none"/>
                <w:lang w:val="en-US" w:eastAsia="zh-CN" w:bidi="ar"/>
              </w:rPr>
              <w:t xml:space="preserve">款式符合国家消防救援局《关于规范防护服款式标识有关事项的通知》的最新统型要求，如有最新要求以最新要求为准。</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3、整体热防护性能TPP值≥32cal/cm2。</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★4、整套服装重量≤2.6Kg。</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5、阻燃性能：</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1）外层面料：经、纬向续燃时间0秒，经、纬向损毁长度≤30mm，无熔融、滴落现象。</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2）防水透气隔热层：经、纬向续燃时间0秒，经、纬向损毁长度≤35mm，无熔融、滴落现象。</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3）舒适层：经、纬向续燃时间0秒，经、纬向损毁长度≤40mm，无熔融、滴落现象。</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4）反光标志带：经、纬向续燃时间0秒，经、纬向损毁长度≤30mm，无熔融、滴落现象。</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5）外层加强材料：经、纬向续燃时间0秒，经、纬向损毁长度≤30mm，无熔融、滴落现象。</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6、力学性能：</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1）外层面料断裂强力：经向≥1000N，纬向≥950N。</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2）撕破强力：经向≥200N，纬向≥150N。</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3）舒适层断裂强力：经向≥350N，纬向≥550N。</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4）外层接缝断裂强力：经、纬向均≥850N。</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5）救生拖拉带断裂强力：经、纬向≥7600N。</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★7、透湿性能：防水透气层透湿率≥8200g/(m2·24h)。</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8、外层表面抗湿性能：≥4级。</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9、热稳定性：外层、外层加强材料经、纬向尺寸变化率≤1%；防水透气层经、纬向尺寸变化率≤2%，舒适层经、纬向尺寸变化率≤3%。</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10、缩水率：外层经向≤1%、纬向≤1.5%；防水透气层经、纬向≤2%；舒适层经向≤1.5%、纬向≤2%。</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11、针距密度：明暗线≥13针/3cm。</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12、救生拖拉带：展开时间≤4s，拖动距离≥2.5m。</w:t>
            </w:r>
            <w:r/>
          </w:p>
        </w:tc>
      </w:tr>
      <w:tr>
        <w:trPr>
          <w:trHeight w:val="7993"/>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灭火防护头盔（半盔）</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顶</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5421"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1、头盔需符合XF44-2015消防头盔标准。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2、由帽壳、缓冲层、帽衬、可调节帽箍、舒适衬垫、下颏带、防护面屏、披肩等组成。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3、头围可调范围广，最大可调节范围达到67cm。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4、专属热绝缘帽壳，帽壳主体含有不小于5cm加长帽沿，具备玻纤复合型热塑材料，含有耐高温抗火焰抗刮擦的树脂涂层，具备橡胶内嵌金属包边。内衬抗冲击隔热的泡沫衬垫。</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5、帽壳具备双层结构，提供多重防护，除了抗冲击，耐穿刺外，提供额外的耐高温隔热的效果。同时双层帽壳具备安全松脱结构设计，在受到意外绊挂时帽壳会自行脱落，以免使用者颈部受到伤害。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6、具备独特的冲击力吸收系统，将抗冲击帽壳，帽衬，缓冲弹性管有机的设计成一个系统，提供抗冲击性能。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7、冲击吸收性能测试：高温预处理最大冲击力小于3200N，辐射热预处理最大冲击力小于3200N，低温预处理最大冲击力小于3200N，浸水预处理最大冲击力小于3200N。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★8、头盔所配面屏具备高性能耐冲击材料，面屏应带有浅色防护涂层，提高使用者在火场的舒适性，且面屏的透光率应超过75%。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9、头盔的后部带有D形环，便于日常使用方便挂持。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10、头盔抗冲击加速度性能：在最大冲击加速度≤400gn时，头帽顶部冲击力小于130N，头盔前部小于310N，头盔侧面冲击力小于320N， 头盔后部冲击力小于310N。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11、头盔具备带大旋风旋钮的头箍，方便轻松调节到位并锁定，采用六点式顶带，确保冲击均匀分布至头部四周，确保舒适性。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12、下颏带具备防火阻燃材料，配有快速调节搭扣。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13、头盔内部头围贴合部分带有软衬垫，具备防火芳纶材料。要求易拆卸。</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14、配有可拆卸铝箔防火披肩，要求防水、耐高温火焰。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15、帽壳的泄漏电量小于1.2mA。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16、下颏带拉伸实验时，下颏带不发生断裂和滑脱，且实验后下颏带延伸不超过13mm。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17、侧向刚性试验后，帽壳最大变形量小于23mm，卸载后变形量小于3.5mm。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18、头盔整体重量小于1.5KG。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19、</w:t>
            </w:r>
            <w:r>
              <w:rPr>
                <w:rStyle w:val="1123"/>
                <w:rFonts w:hint="eastAsia" w:ascii="宋体" w:hAnsi="宋体" w:eastAsia="宋体" w:cs="宋体"/>
                <w:color w:val="auto"/>
                <w:sz w:val="21"/>
                <w:szCs w:val="21"/>
                <w:highlight w:val="none"/>
                <w:lang w:val="en-US" w:eastAsia="zh-CN" w:bidi="ar"/>
              </w:rPr>
              <w:t xml:space="preserve">产品标识、</w:t>
            </w:r>
            <w:r>
              <w:rPr>
                <w:rStyle w:val="1133"/>
                <w:rFonts w:hint="eastAsia" w:ascii="宋体" w:hAnsi="宋体" w:eastAsia="宋体" w:cs="宋体"/>
                <w:color w:val="auto"/>
                <w:sz w:val="21"/>
                <w:szCs w:val="21"/>
                <w:highlight w:val="none"/>
                <w:lang w:val="en-US" w:eastAsia="zh-CN" w:bidi="ar"/>
              </w:rPr>
              <w:t xml:space="preserve">包装满足XF44-2015标准要求，每顶头盔上应有清晰的永久性标识，执行标准、型号，规格，生产厂的名称和商标，生产厂的头盔识别编号或制造年月，检验合格标记等。</w:t>
            </w:r>
            <w:r/>
          </w:p>
        </w:tc>
      </w:tr>
      <w:tr>
        <w:trPr>
          <w:trHeight w:val="4800"/>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灭火防护手套</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5421"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1、符合XF7-2004《消防手套》标准要求；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2、消防用灭火防护手套形状手指部分自然弯曲，符合人体工程学。手套侧面带有D型环可挂于身上，方便携带。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3、外层手掌、手背材料均具备牛皮，防水材料具备防水透气膜，隔热层材料具备抗菌抗静电拉绒布。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4、拇指、食指、中指增加耐磨布补强，无名指和小拇指增加TPR防护，手背设有防护壳保护手背安全，手套袖筒有腕带可收紧。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5、整体热防护性能：≥45cal/c㎡；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6、★阻燃性能手套掌心面、手套背面：经向续燃时间≤0s、阴燃时间≤0s，损毁长度≤10mm，试验现象应无熔融，无滴落；纬向续燃时间≤0s、阴燃时间≤0s，损毁长度≤10 mm，试验现象应无熔融，无滴落；隔热层手套掌心面、手套背面：经向续燃时间≤0s、阴燃时间≤0s，损毁长度≤5mm，试验现象应无熔融，无滴落；纬向续燃时间≤0s、阴燃时间≤0s，损毁长度≤5mm，试验现象应无熔融，无滴落；衬里：应无熔融滴落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7、力学防护性能：撕破强力≥105N，手套穿刺力：≥100N，割破力(N)：≥15N；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8、耐热性能：手套收缩率≤2%；试验表面应无明显变化，且无熔融，脱离和燃烧试验现象；衬里收缩率≤1%；试验表面应无明显变化，且无熔融，脱离和燃烧试验现象；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9、耐静水压性能:手套防水层和其线缝在静水压7kPa下 ,试验5min后，无水滴；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10、握紧性能：拉重力比（%）≥80%；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11、穿戴性能：穿戴时间（s）≤2s；</w:t>
            </w:r>
            <w:r/>
          </w:p>
        </w:tc>
      </w:tr>
      <w:tr>
        <w:trPr>
          <w:trHeight w:val="90"/>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胸前照明灯</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5421"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1、可实现工作光，强光，爆闪三挡调节，满足照明及信号指示的需求.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2、灯具可手持，腰佩等多种携带使用方式，灯头可在90范围内任意调节角度，无照明死角。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3、灯具需具有聚光，泛光，爆闪，45度辅助行走灯。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4、电量显示功能：五段式电量显示。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5、主要技术参数：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5.1额定电压≥7.2V.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5.2额定容量≥5Ah.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5.3防护等级IP66/IP68(1.5m,1h).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5.4功率≥5W.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5.5 5米处强光最大照度≥2500lx.弱光最大照度≥1000lx，强光色温达≥5000K</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5.6产品可在温度-20℃~+40℃环境中可靠使用。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5.7连续照明时间强光：≥8h，工作光：≥15h，节能光：≥200h，充电时间5h，充电接口Type -C.</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5.8电池使用寿命1000循环</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5.9重量≤500g.</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6、产品整体符合GB30734-2014消防员照明灯具标准</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7、防爆等级不低于EX nR II C T4 Gc ，</w:t>
            </w:r>
            <w:r>
              <w:rPr>
                <w:rFonts w:hint="eastAsia" w:ascii="宋体" w:hAnsi="宋体" w:eastAsia="宋体" w:cs="宋体"/>
                <w:b w:val="0"/>
                <w:bCs w:val="0"/>
                <w:color w:val="auto"/>
                <w:sz w:val="21"/>
                <w:szCs w:val="21"/>
                <w:highlight w:val="none"/>
              </w:rPr>
              <w:t xml:space="preserve">提供国家级或国家认可的第三方检测检验机构出具的防爆合格证</w:t>
            </w:r>
            <w:r>
              <w:rPr>
                <w:rFonts w:hint="eastAsia" w:ascii="宋体" w:hAnsi="宋体" w:eastAsia="宋体" w:cs="宋体"/>
                <w:b w:val="0"/>
                <w:bCs w:val="0"/>
                <w:color w:val="auto"/>
                <w:sz w:val="21"/>
                <w:szCs w:val="21"/>
                <w:highlight w:val="none"/>
                <w:lang w:eastAsia="zh-CN"/>
              </w:rPr>
              <w:t xml:space="preserve">。</w:t>
            </w:r>
            <w:r/>
          </w:p>
        </w:tc>
      </w:tr>
      <w:tr>
        <w:trPr>
          <w:trHeight w:val="4481"/>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方位灯</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5421"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Style w:val="1133"/>
                <w:rFonts w:hint="eastAsia" w:ascii="宋体" w:hAnsi="宋体" w:eastAsia="宋体" w:cs="宋体"/>
                <w:color w:val="auto"/>
                <w:sz w:val="21"/>
                <w:szCs w:val="21"/>
                <w:highlight w:val="none"/>
                <w:lang w:val="en-US" w:eastAsia="zh-CN" w:bidi="ar"/>
              </w:rPr>
              <w:t xml:space="preserve">1、符合GB27899-2011《消防员方位灯》标准要求。</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2、具备LED光源，对水及雨雾的穿透能力为300～500米。</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3、配装两节7号高能电池，频闪连续工作时间达100小时以上，常亮≥40h。</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4、以防弹胶材料精制，确保产品能经受强力碰撞和冲击。</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5、发光亮度：≥300cd/㎡，闪光频率0.5Hz-2.5Hz。</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6、额定电压≥DC3V，额定功率≥3W。</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7、下限温度：≤-25℃，跌落高度≥ 2M，跌落次数：≥4。</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8、火花点燃：任何一选定故障点均不会出现点燃；介电强度：未发生介电击穿；电池和电池组电解液：未发生电解液痕迹。</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9、电池和电池组的火花点燃和表面温度：最高表面温度：≤130℃。</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10、可具备在强腐蚀环境下正常工作。</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11、可在-20～＋50°C 温度下正常工作。</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12、体积小，重量轻，操作简单，可采用吊挂、夹扣、捆绑和磁力吸附等多种携带方式。</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13、防爆等级：≥EX ia IICT4Ga。</w:t>
            </w:r>
            <w:r/>
          </w:p>
        </w:tc>
      </w:tr>
      <w:tr>
        <w:trPr>
          <w:trHeight w:val="2414"/>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抢险救援服（冬）</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5421"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1、符合XF633-2006《消防员抢险救援防护服装》标准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2、结构组成：具备外层、防水透气和舒适层三层结构组成，具备防静电、阻燃、耐磨、轻便等性能。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3、外层材料：原液染色芳纶纤维，单位面积质量（200±10）g/㎡。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4、阻燃性能：防护层面料与肩部、膝部、臀部、肘部等部位的加强材料，</w:t>
            </w:r>
            <w:r>
              <w:rPr>
                <w:rStyle w:val="1124"/>
                <w:rFonts w:hint="eastAsia" w:ascii="宋体" w:hAnsi="宋体" w:eastAsia="宋体" w:cs="宋体"/>
                <w:color w:val="auto"/>
                <w:sz w:val="21"/>
                <w:szCs w:val="21"/>
                <w:highlight w:val="none"/>
                <w:lang w:val="en-US" w:eastAsia="zh-CN" w:bidi="ar"/>
              </w:rPr>
              <w:t xml:space="preserve">经过25次洗涤后进行阻燃性能试验，损毁长度≤48mm，续燃时间不大于1s且无熔融、滴落现象。</w:t>
            </w:r>
            <w:r>
              <w:rPr>
                <w:rStyle w:val="1126"/>
                <w:rFonts w:hint="eastAsia" w:ascii="宋体" w:hAnsi="宋体" w:eastAsia="宋体" w:cs="宋体"/>
                <w:color w:val="auto"/>
                <w:sz w:val="21"/>
                <w:szCs w:val="21"/>
                <w:highlight w:val="none"/>
                <w:lang w:val="en-US" w:eastAsia="zh-CN" w:bidi="ar"/>
              </w:rPr>
              <w:br/>
            </w:r>
            <w:r>
              <w:rPr>
                <w:rStyle w:val="1126"/>
                <w:rFonts w:hint="eastAsia" w:ascii="宋体" w:hAnsi="宋体" w:eastAsia="宋体" w:cs="宋体"/>
                <w:color w:val="auto"/>
                <w:sz w:val="21"/>
                <w:szCs w:val="21"/>
                <w:highlight w:val="none"/>
                <w:lang w:val="en-US" w:eastAsia="zh-CN" w:bidi="ar"/>
              </w:rPr>
              <w:t xml:space="preserve">5、断裂强力：经向干态断裂强度≥1100N；纬向干态断裂强度≥890N。</w:t>
            </w:r>
            <w:r>
              <w:rPr>
                <w:rStyle w:val="1126"/>
                <w:rFonts w:hint="eastAsia" w:ascii="宋体" w:hAnsi="宋体" w:eastAsia="宋体" w:cs="宋体"/>
                <w:color w:val="auto"/>
                <w:sz w:val="21"/>
                <w:szCs w:val="21"/>
                <w:highlight w:val="none"/>
                <w:lang w:val="en-US" w:eastAsia="zh-CN" w:bidi="ar"/>
              </w:rPr>
              <w:br/>
            </w:r>
            <w:r>
              <w:rPr>
                <w:rStyle w:val="1126"/>
                <w:rFonts w:hint="eastAsia" w:ascii="宋体" w:hAnsi="宋体" w:eastAsia="宋体" w:cs="宋体"/>
                <w:color w:val="auto"/>
                <w:sz w:val="21"/>
                <w:szCs w:val="21"/>
                <w:highlight w:val="none"/>
                <w:lang w:val="en-US" w:eastAsia="zh-CN" w:bidi="ar"/>
              </w:rPr>
              <w:t xml:space="preserve">6、撕破强力：经向撕破强力≥200N、纬向撕破强力≥130N。</w:t>
            </w:r>
            <w:r>
              <w:rPr>
                <w:rStyle w:val="1126"/>
                <w:rFonts w:hint="eastAsia" w:ascii="宋体" w:hAnsi="宋体" w:eastAsia="宋体" w:cs="宋体"/>
                <w:color w:val="auto"/>
                <w:sz w:val="21"/>
                <w:szCs w:val="21"/>
                <w:highlight w:val="none"/>
                <w:lang w:val="en-US" w:eastAsia="zh-CN" w:bidi="ar"/>
              </w:rPr>
              <w:br/>
            </w:r>
            <w:r>
              <w:rPr>
                <w:rStyle w:val="1126"/>
                <w:rFonts w:hint="eastAsia" w:ascii="宋体" w:hAnsi="宋体" w:eastAsia="宋体" w:cs="宋体"/>
                <w:color w:val="auto"/>
                <w:sz w:val="21"/>
                <w:szCs w:val="21"/>
                <w:highlight w:val="none"/>
                <w:lang w:val="en-US" w:eastAsia="zh-CN" w:bidi="ar"/>
              </w:rPr>
              <w:t xml:space="preserve">7、接缝断裂强力：面料接缝断裂强力经向≥800N、纬向≥750N。</w:t>
            </w:r>
            <w:r>
              <w:rPr>
                <w:rStyle w:val="1126"/>
                <w:rFonts w:hint="eastAsia" w:ascii="宋体" w:hAnsi="宋体" w:eastAsia="宋体" w:cs="宋体"/>
                <w:color w:val="auto"/>
                <w:sz w:val="21"/>
                <w:szCs w:val="21"/>
                <w:highlight w:val="none"/>
                <w:lang w:val="en-US" w:eastAsia="zh-CN" w:bidi="ar"/>
              </w:rPr>
              <w:br/>
            </w:r>
            <w:r>
              <w:rPr>
                <w:rStyle w:val="1126"/>
                <w:rFonts w:hint="eastAsia" w:ascii="宋体" w:hAnsi="宋体" w:eastAsia="宋体" w:cs="宋体"/>
                <w:color w:val="auto"/>
                <w:sz w:val="21"/>
                <w:szCs w:val="21"/>
                <w:highlight w:val="none"/>
                <w:lang w:val="en-US" w:eastAsia="zh-CN" w:bidi="ar"/>
              </w:rPr>
              <w:t xml:space="preserve">8、热稳定性能：经（180±5）℃热稳定性能试验后，防护层面料与肩部、膝部、臀部、肘部等部位的加强材料沿经、纬方向尺寸变化率≤1.5%，且试样表面无明显变化。</w:t>
            </w:r>
            <w:r>
              <w:rPr>
                <w:rStyle w:val="1126"/>
                <w:rFonts w:hint="eastAsia" w:ascii="宋体" w:hAnsi="宋体" w:eastAsia="宋体" w:cs="宋体"/>
                <w:color w:val="auto"/>
                <w:sz w:val="21"/>
                <w:szCs w:val="21"/>
                <w:highlight w:val="none"/>
                <w:lang w:val="en-US" w:eastAsia="zh-CN" w:bidi="ar"/>
              </w:rPr>
              <w:br/>
            </w:r>
            <w:r>
              <w:rPr>
                <w:rStyle w:val="1126"/>
                <w:rFonts w:hint="eastAsia" w:ascii="宋体" w:hAnsi="宋体" w:eastAsia="宋体" w:cs="宋体"/>
                <w:color w:val="auto"/>
                <w:sz w:val="21"/>
                <w:szCs w:val="21"/>
                <w:highlight w:val="none"/>
                <w:lang w:val="en-US" w:eastAsia="zh-CN" w:bidi="ar"/>
              </w:rPr>
              <w:t xml:space="preserve">9、色牢度：防护层面料的耐水摩擦色牢度、耐洗沾色牢度、耐光色牢度≥四级。</w:t>
            </w:r>
            <w:r>
              <w:rPr>
                <w:rStyle w:val="1126"/>
                <w:rFonts w:hint="eastAsia" w:ascii="宋体" w:hAnsi="宋体" w:eastAsia="宋体" w:cs="宋体"/>
                <w:color w:val="auto"/>
                <w:sz w:val="21"/>
                <w:szCs w:val="21"/>
                <w:highlight w:val="none"/>
                <w:lang w:val="en-US" w:eastAsia="zh-CN" w:bidi="ar"/>
              </w:rPr>
              <w:br/>
            </w:r>
            <w:r>
              <w:rPr>
                <w:rStyle w:val="1126"/>
                <w:rFonts w:hint="eastAsia" w:ascii="宋体" w:hAnsi="宋体" w:eastAsia="宋体" w:cs="宋体"/>
                <w:color w:val="auto"/>
                <w:sz w:val="21"/>
                <w:szCs w:val="21"/>
                <w:highlight w:val="none"/>
                <w:lang w:val="en-US" w:eastAsia="zh-CN" w:bidi="ar"/>
              </w:rPr>
              <w:t xml:space="preserve">10、色差：前领与前身、袖与前身、袋与前身、左右前身及其它表面部位的色差≥四级。</w:t>
            </w:r>
            <w:r>
              <w:rPr>
                <w:rStyle w:val="1126"/>
                <w:rFonts w:hint="eastAsia" w:ascii="宋体" w:hAnsi="宋体" w:eastAsia="宋体" w:cs="宋体"/>
                <w:color w:val="auto"/>
                <w:sz w:val="21"/>
                <w:szCs w:val="21"/>
                <w:highlight w:val="none"/>
                <w:lang w:val="en-US" w:eastAsia="zh-CN" w:bidi="ar"/>
              </w:rPr>
              <w:br/>
            </w:r>
            <w:r>
              <w:rPr>
                <w:rStyle w:val="1126"/>
                <w:rFonts w:hint="eastAsia" w:ascii="宋体" w:hAnsi="宋体" w:eastAsia="宋体" w:cs="宋体"/>
                <w:color w:val="auto"/>
                <w:sz w:val="21"/>
                <w:szCs w:val="21"/>
                <w:highlight w:val="none"/>
                <w:lang w:val="en-US" w:eastAsia="zh-CN" w:bidi="ar"/>
              </w:rPr>
              <w:t xml:space="preserve">11、表面抗湿性能：洗涤五次后，沾水等级≥四级。</w:t>
            </w:r>
            <w:r>
              <w:rPr>
                <w:rStyle w:val="1126"/>
                <w:rFonts w:hint="eastAsia" w:ascii="宋体" w:hAnsi="宋体" w:eastAsia="宋体" w:cs="宋体"/>
                <w:color w:val="auto"/>
                <w:sz w:val="21"/>
                <w:szCs w:val="21"/>
                <w:highlight w:val="none"/>
                <w:lang w:val="en-US" w:eastAsia="zh-CN" w:bidi="ar"/>
              </w:rPr>
              <w:br/>
            </w:r>
            <w:r>
              <w:rPr>
                <w:rStyle w:val="1126"/>
                <w:rFonts w:hint="eastAsia" w:ascii="宋体" w:hAnsi="宋体" w:eastAsia="宋体" w:cs="宋体"/>
                <w:color w:val="auto"/>
                <w:sz w:val="21"/>
                <w:szCs w:val="21"/>
                <w:highlight w:val="none"/>
                <w:lang w:val="en-US" w:eastAsia="zh-CN" w:bidi="ar"/>
              </w:rPr>
              <w:t xml:space="preserve">12、缩水率：</w:t>
            </w:r>
            <w:r>
              <w:rPr>
                <w:rStyle w:val="1124"/>
                <w:rFonts w:hint="eastAsia" w:ascii="宋体" w:hAnsi="宋体" w:eastAsia="宋体" w:cs="宋体"/>
                <w:color w:val="auto"/>
                <w:sz w:val="21"/>
                <w:szCs w:val="21"/>
                <w:highlight w:val="none"/>
                <w:lang w:val="en-US" w:eastAsia="zh-CN" w:bidi="ar"/>
              </w:rPr>
              <w:t xml:space="preserve">经过五次洗涤后，沿经、纬向缩水率≤1.5%。</w:t>
            </w:r>
            <w:r>
              <w:rPr>
                <w:rStyle w:val="1126"/>
                <w:rFonts w:hint="eastAsia" w:ascii="宋体" w:hAnsi="宋体" w:eastAsia="宋体" w:cs="宋体"/>
                <w:color w:val="auto"/>
                <w:sz w:val="21"/>
                <w:szCs w:val="21"/>
                <w:highlight w:val="none"/>
                <w:lang w:val="en-US" w:eastAsia="zh-CN" w:bidi="ar"/>
              </w:rPr>
              <w:br/>
            </w:r>
            <w:r>
              <w:rPr>
                <w:rStyle w:val="1126"/>
                <w:rFonts w:hint="eastAsia" w:ascii="宋体" w:hAnsi="宋体" w:eastAsia="宋体" w:cs="宋体"/>
                <w:color w:val="auto"/>
                <w:sz w:val="21"/>
                <w:szCs w:val="21"/>
                <w:highlight w:val="none"/>
                <w:lang w:val="en-US" w:eastAsia="zh-CN" w:bidi="ar"/>
              </w:rPr>
              <w:t xml:space="preserve">13、起毛起球性能：按照GB/T 4802.1-2008《纺织品 织物起毛起球性能的测定》检测，≥3级。</w:t>
            </w:r>
            <w:r>
              <w:rPr>
                <w:rStyle w:val="1126"/>
                <w:rFonts w:hint="eastAsia" w:ascii="宋体" w:hAnsi="宋体" w:eastAsia="宋体" w:cs="宋体"/>
                <w:color w:val="auto"/>
                <w:sz w:val="21"/>
                <w:szCs w:val="21"/>
                <w:highlight w:val="none"/>
                <w:lang w:val="en-US" w:eastAsia="zh-CN" w:bidi="ar"/>
              </w:rPr>
              <w:br/>
            </w:r>
            <w:r>
              <w:rPr>
                <w:rStyle w:val="1126"/>
                <w:rFonts w:hint="eastAsia" w:ascii="宋体" w:hAnsi="宋体" w:eastAsia="宋体" w:cs="宋体"/>
                <w:color w:val="auto"/>
                <w:sz w:val="21"/>
                <w:szCs w:val="21"/>
                <w:highlight w:val="none"/>
                <w:lang w:val="en-US" w:eastAsia="zh-CN" w:bidi="ar"/>
              </w:rPr>
              <w:t xml:space="preserve">14、防水透气层</w:t>
            </w:r>
            <w:r>
              <w:rPr>
                <w:rStyle w:val="1126"/>
                <w:rFonts w:hint="eastAsia" w:ascii="宋体" w:hAnsi="宋体" w:eastAsia="宋体" w:cs="宋体"/>
                <w:color w:val="auto"/>
                <w:sz w:val="21"/>
                <w:szCs w:val="21"/>
                <w:highlight w:val="none"/>
                <w:lang w:val="en-US" w:eastAsia="zh-CN" w:bidi="ar"/>
              </w:rPr>
              <w:br/>
            </w:r>
            <w:r>
              <w:rPr>
                <w:rStyle w:val="1126"/>
                <w:rFonts w:hint="eastAsia" w:ascii="宋体" w:hAnsi="宋体" w:eastAsia="宋体" w:cs="宋体"/>
                <w:color w:val="auto"/>
                <w:sz w:val="21"/>
                <w:szCs w:val="21"/>
                <w:highlight w:val="none"/>
                <w:lang w:val="en-US" w:eastAsia="zh-CN" w:bidi="ar"/>
              </w:rPr>
              <w:t xml:space="preserve">14.1、防水透气层材料：芳纶水刺无纺布覆PTFE膜。</w:t>
            </w:r>
            <w:r>
              <w:rPr>
                <w:rStyle w:val="1126"/>
                <w:rFonts w:hint="eastAsia" w:ascii="宋体" w:hAnsi="宋体" w:eastAsia="宋体" w:cs="宋体"/>
                <w:color w:val="auto"/>
                <w:sz w:val="21"/>
                <w:szCs w:val="21"/>
                <w:highlight w:val="none"/>
                <w:lang w:val="en-US" w:eastAsia="zh-CN" w:bidi="ar"/>
              </w:rPr>
              <w:br/>
            </w:r>
            <w:r>
              <w:rPr>
                <w:rStyle w:val="1126"/>
                <w:rFonts w:hint="eastAsia" w:ascii="宋体" w:hAnsi="宋体" w:eastAsia="宋体" w:cs="宋体"/>
                <w:color w:val="auto"/>
                <w:sz w:val="21"/>
                <w:szCs w:val="21"/>
                <w:highlight w:val="none"/>
                <w:lang w:val="en-US" w:eastAsia="zh-CN" w:bidi="ar"/>
              </w:rPr>
              <w:t xml:space="preserve">14.2、 耐静水压性能：</w:t>
            </w:r>
            <w:r>
              <w:rPr>
                <w:rStyle w:val="1124"/>
                <w:rFonts w:hint="eastAsia" w:ascii="宋体" w:hAnsi="宋体" w:eastAsia="宋体" w:cs="宋体"/>
                <w:color w:val="auto"/>
                <w:sz w:val="21"/>
                <w:szCs w:val="21"/>
                <w:highlight w:val="none"/>
                <w:lang w:val="en-US" w:eastAsia="zh-CN" w:bidi="ar"/>
              </w:rPr>
              <w:t xml:space="preserve">洗涤25次后</w:t>
            </w:r>
            <w:r>
              <w:rPr>
                <w:rStyle w:val="1126"/>
                <w:rFonts w:hint="eastAsia" w:ascii="宋体" w:hAnsi="宋体" w:eastAsia="宋体" w:cs="宋体"/>
                <w:color w:val="auto"/>
                <w:sz w:val="21"/>
                <w:szCs w:val="21"/>
                <w:highlight w:val="none"/>
                <w:lang w:val="en-US" w:eastAsia="zh-CN" w:bidi="ar"/>
              </w:rPr>
              <w:t xml:space="preserve">，耐静水压≥50kPa。</w:t>
            </w:r>
            <w:r>
              <w:rPr>
                <w:rStyle w:val="1126"/>
                <w:rFonts w:hint="eastAsia" w:ascii="宋体" w:hAnsi="宋体" w:eastAsia="宋体" w:cs="宋体"/>
                <w:color w:val="auto"/>
                <w:sz w:val="21"/>
                <w:szCs w:val="21"/>
                <w:highlight w:val="none"/>
                <w:lang w:val="en-US" w:eastAsia="zh-CN" w:bidi="ar"/>
              </w:rPr>
              <w:br/>
            </w:r>
            <w:r>
              <w:rPr>
                <w:rStyle w:val="1126"/>
                <w:rFonts w:hint="eastAsia" w:ascii="宋体" w:hAnsi="宋体" w:eastAsia="宋体" w:cs="宋体"/>
                <w:color w:val="auto"/>
                <w:sz w:val="21"/>
                <w:szCs w:val="21"/>
                <w:highlight w:val="none"/>
                <w:lang w:val="en-US" w:eastAsia="zh-CN" w:bidi="ar"/>
              </w:rPr>
              <w:t xml:space="preserve">14.3、★透湿率性能：≥10000g/(㎡•24h)。</w:t>
            </w:r>
            <w:r>
              <w:rPr>
                <w:rStyle w:val="1126"/>
                <w:rFonts w:hint="eastAsia" w:ascii="宋体" w:hAnsi="宋体" w:eastAsia="宋体" w:cs="宋体"/>
                <w:color w:val="auto"/>
                <w:sz w:val="21"/>
                <w:szCs w:val="21"/>
                <w:highlight w:val="none"/>
                <w:lang w:val="en-US" w:eastAsia="zh-CN" w:bidi="ar"/>
              </w:rPr>
              <w:br/>
            </w:r>
            <w:r>
              <w:rPr>
                <w:rStyle w:val="1126"/>
                <w:rFonts w:hint="eastAsia" w:ascii="宋体" w:hAnsi="宋体" w:eastAsia="宋体" w:cs="宋体"/>
                <w:color w:val="auto"/>
                <w:sz w:val="21"/>
                <w:szCs w:val="21"/>
                <w:highlight w:val="none"/>
                <w:lang w:val="en-US" w:eastAsia="zh-CN" w:bidi="ar"/>
              </w:rPr>
              <w:t xml:space="preserve">14.4、 拒油性能：</w:t>
            </w:r>
            <w:r>
              <w:rPr>
                <w:rStyle w:val="1124"/>
                <w:rFonts w:hint="eastAsia" w:ascii="宋体" w:hAnsi="宋体" w:eastAsia="宋体" w:cs="宋体"/>
                <w:color w:val="auto"/>
                <w:sz w:val="21"/>
                <w:szCs w:val="21"/>
                <w:highlight w:val="none"/>
                <w:lang w:val="en-US" w:eastAsia="zh-CN" w:bidi="ar"/>
              </w:rPr>
              <w:t xml:space="preserve">洗涤25次后</w:t>
            </w:r>
            <w:r>
              <w:rPr>
                <w:rStyle w:val="1126"/>
                <w:rFonts w:hint="eastAsia" w:ascii="宋体" w:hAnsi="宋体" w:eastAsia="宋体" w:cs="宋体"/>
                <w:color w:val="auto"/>
                <w:sz w:val="21"/>
                <w:szCs w:val="21"/>
                <w:highlight w:val="none"/>
                <w:lang w:val="en-US" w:eastAsia="zh-CN" w:bidi="ar"/>
              </w:rPr>
              <w:t xml:space="preserve">，拒油性能≥4级。</w:t>
            </w:r>
            <w:r>
              <w:rPr>
                <w:rStyle w:val="1126"/>
                <w:rFonts w:hint="eastAsia" w:ascii="宋体" w:hAnsi="宋体" w:eastAsia="宋体" w:cs="宋体"/>
                <w:color w:val="auto"/>
                <w:sz w:val="21"/>
                <w:szCs w:val="21"/>
                <w:highlight w:val="none"/>
                <w:lang w:val="en-US" w:eastAsia="zh-CN" w:bidi="ar"/>
              </w:rPr>
              <w:br/>
            </w:r>
            <w:r>
              <w:rPr>
                <w:rStyle w:val="1126"/>
                <w:rFonts w:hint="eastAsia" w:ascii="宋体" w:hAnsi="宋体" w:eastAsia="宋体" w:cs="宋体"/>
                <w:color w:val="auto"/>
                <w:sz w:val="21"/>
                <w:szCs w:val="21"/>
                <w:highlight w:val="none"/>
                <w:lang w:val="en-US" w:eastAsia="zh-CN" w:bidi="ar"/>
              </w:rPr>
              <w:t xml:space="preserve">14.5、 热稳定性能：经（180±5）℃热稳定性能试验后，沿经、纬向尺寸变化率≤1.5%，且试样表面应无明显变化。</w:t>
            </w:r>
            <w:r>
              <w:rPr>
                <w:rStyle w:val="1126"/>
                <w:rFonts w:hint="eastAsia" w:ascii="宋体" w:hAnsi="宋体" w:eastAsia="宋体" w:cs="宋体"/>
                <w:color w:val="auto"/>
                <w:sz w:val="21"/>
                <w:szCs w:val="21"/>
                <w:highlight w:val="none"/>
                <w:lang w:val="en-US" w:eastAsia="zh-CN" w:bidi="ar"/>
              </w:rPr>
              <w:br/>
            </w:r>
            <w:r>
              <w:rPr>
                <w:rStyle w:val="1126"/>
                <w:rFonts w:hint="eastAsia" w:ascii="宋体" w:hAnsi="宋体" w:eastAsia="宋体" w:cs="宋体"/>
                <w:color w:val="auto"/>
                <w:sz w:val="21"/>
                <w:szCs w:val="21"/>
                <w:highlight w:val="none"/>
                <w:lang w:val="en-US" w:eastAsia="zh-CN" w:bidi="ar"/>
              </w:rPr>
              <w:t xml:space="preserve">14.6、 缩水率：</w:t>
            </w:r>
            <w:r>
              <w:rPr>
                <w:rStyle w:val="1124"/>
                <w:rFonts w:hint="eastAsia" w:ascii="宋体" w:hAnsi="宋体" w:eastAsia="宋体" w:cs="宋体"/>
                <w:color w:val="auto"/>
                <w:sz w:val="21"/>
                <w:szCs w:val="21"/>
                <w:highlight w:val="none"/>
                <w:lang w:val="en-US" w:eastAsia="zh-CN" w:bidi="ar"/>
              </w:rPr>
              <w:t xml:space="preserve">经过五次洗涤后</w:t>
            </w:r>
            <w:r>
              <w:rPr>
                <w:rStyle w:val="1126"/>
                <w:rFonts w:hint="eastAsia" w:ascii="宋体" w:hAnsi="宋体" w:eastAsia="宋体" w:cs="宋体"/>
                <w:color w:val="auto"/>
                <w:sz w:val="21"/>
                <w:szCs w:val="21"/>
                <w:highlight w:val="none"/>
                <w:lang w:val="en-US" w:eastAsia="zh-CN" w:bidi="ar"/>
              </w:rPr>
              <w:t xml:space="preserve">，沿经、纬向缩水率≤1.5%。</w:t>
            </w:r>
            <w:r>
              <w:rPr>
                <w:rStyle w:val="1126"/>
                <w:rFonts w:hint="eastAsia" w:ascii="宋体" w:hAnsi="宋体" w:eastAsia="宋体" w:cs="宋体"/>
                <w:color w:val="auto"/>
                <w:sz w:val="21"/>
                <w:szCs w:val="21"/>
                <w:highlight w:val="none"/>
                <w:lang w:val="en-US" w:eastAsia="zh-CN" w:bidi="ar"/>
              </w:rPr>
              <w:br/>
            </w:r>
            <w:r>
              <w:rPr>
                <w:rStyle w:val="1126"/>
                <w:rFonts w:hint="eastAsia" w:ascii="宋体" w:hAnsi="宋体" w:eastAsia="宋体" w:cs="宋体"/>
                <w:color w:val="auto"/>
                <w:sz w:val="21"/>
                <w:szCs w:val="21"/>
                <w:highlight w:val="none"/>
                <w:lang w:val="en-US" w:eastAsia="zh-CN" w:bidi="ar"/>
              </w:rPr>
              <w:t xml:space="preserve">15、舒适层</w:t>
            </w:r>
            <w:r>
              <w:rPr>
                <w:rStyle w:val="1126"/>
                <w:rFonts w:hint="eastAsia" w:ascii="宋体" w:hAnsi="宋体" w:eastAsia="宋体" w:cs="宋体"/>
                <w:color w:val="auto"/>
                <w:sz w:val="21"/>
                <w:szCs w:val="21"/>
                <w:highlight w:val="none"/>
                <w:lang w:val="en-US" w:eastAsia="zh-CN" w:bidi="ar"/>
              </w:rPr>
              <w:br/>
            </w:r>
            <w:r>
              <w:rPr>
                <w:rStyle w:val="1126"/>
                <w:rFonts w:hint="eastAsia" w:ascii="宋体" w:hAnsi="宋体" w:eastAsia="宋体" w:cs="宋体"/>
                <w:color w:val="auto"/>
                <w:sz w:val="21"/>
                <w:szCs w:val="21"/>
                <w:highlight w:val="none"/>
                <w:lang w:val="en-US" w:eastAsia="zh-CN" w:bidi="ar"/>
              </w:rPr>
              <w:t xml:space="preserve">15.1、舒适层材料：芳纶与阻燃粘胶混纺材料；颜色：灰色。</w:t>
            </w:r>
            <w:r>
              <w:rPr>
                <w:rStyle w:val="1126"/>
                <w:rFonts w:hint="eastAsia" w:ascii="宋体" w:hAnsi="宋体" w:eastAsia="宋体" w:cs="宋体"/>
                <w:color w:val="auto"/>
                <w:sz w:val="21"/>
                <w:szCs w:val="21"/>
                <w:highlight w:val="none"/>
                <w:lang w:val="en-US" w:eastAsia="zh-CN" w:bidi="ar"/>
              </w:rPr>
              <w:br/>
            </w:r>
            <w:r>
              <w:rPr>
                <w:rStyle w:val="1126"/>
                <w:rFonts w:hint="eastAsia" w:ascii="宋体" w:hAnsi="宋体" w:eastAsia="宋体" w:cs="宋体"/>
                <w:color w:val="auto"/>
                <w:sz w:val="21"/>
                <w:szCs w:val="21"/>
                <w:highlight w:val="none"/>
                <w:lang w:val="en-US" w:eastAsia="zh-CN" w:bidi="ar"/>
              </w:rPr>
              <w:t xml:space="preserve">15.2、热稳定性能</w:t>
            </w:r>
            <w:r>
              <w:rPr>
                <w:rStyle w:val="1124"/>
                <w:rFonts w:hint="eastAsia" w:ascii="宋体" w:hAnsi="宋体" w:eastAsia="宋体" w:cs="宋体"/>
                <w:color w:val="auto"/>
                <w:sz w:val="21"/>
                <w:szCs w:val="21"/>
                <w:highlight w:val="none"/>
                <w:lang w:val="en-US" w:eastAsia="zh-CN" w:bidi="ar"/>
              </w:rPr>
              <w:t xml:space="preserve">：经（180±5）℃热稳定性能试验后</w:t>
            </w:r>
            <w:r>
              <w:rPr>
                <w:rStyle w:val="1126"/>
                <w:rFonts w:hint="eastAsia" w:ascii="宋体" w:hAnsi="宋体" w:eastAsia="宋体" w:cs="宋体"/>
                <w:color w:val="auto"/>
                <w:sz w:val="21"/>
                <w:szCs w:val="21"/>
                <w:highlight w:val="none"/>
                <w:lang w:val="en-US" w:eastAsia="zh-CN" w:bidi="ar"/>
              </w:rPr>
              <w:t xml:space="preserve">，沿经、纬向尺寸变化率≤2%，且试样表面应无明显变化。</w:t>
            </w:r>
            <w:r>
              <w:rPr>
                <w:rStyle w:val="1126"/>
                <w:rFonts w:hint="eastAsia" w:ascii="宋体" w:hAnsi="宋体" w:eastAsia="宋体" w:cs="宋体"/>
                <w:color w:val="auto"/>
                <w:sz w:val="21"/>
                <w:szCs w:val="21"/>
                <w:highlight w:val="none"/>
                <w:lang w:val="en-US" w:eastAsia="zh-CN" w:bidi="ar"/>
              </w:rPr>
              <w:br/>
            </w:r>
            <w:r>
              <w:rPr>
                <w:rStyle w:val="1126"/>
                <w:rFonts w:hint="eastAsia" w:ascii="宋体" w:hAnsi="宋体" w:eastAsia="宋体" w:cs="宋体"/>
                <w:color w:val="auto"/>
                <w:sz w:val="21"/>
                <w:szCs w:val="21"/>
                <w:highlight w:val="none"/>
                <w:lang w:val="en-US" w:eastAsia="zh-CN" w:bidi="ar"/>
              </w:rPr>
              <w:t xml:space="preserve">15.3、阻燃性能：</w:t>
            </w:r>
            <w:r>
              <w:rPr>
                <w:rStyle w:val="1124"/>
                <w:rFonts w:hint="eastAsia" w:ascii="宋体" w:hAnsi="宋体" w:eastAsia="宋体" w:cs="宋体"/>
                <w:color w:val="auto"/>
                <w:sz w:val="21"/>
                <w:szCs w:val="21"/>
                <w:highlight w:val="none"/>
                <w:lang w:val="en-US" w:eastAsia="zh-CN" w:bidi="ar"/>
              </w:rPr>
              <w:t xml:space="preserve">经25次洗涤后进行阻燃性能试验</w:t>
            </w:r>
            <w:r>
              <w:rPr>
                <w:rStyle w:val="1126"/>
                <w:rFonts w:hint="eastAsia" w:ascii="宋体" w:hAnsi="宋体" w:eastAsia="宋体" w:cs="宋体"/>
                <w:color w:val="auto"/>
                <w:sz w:val="21"/>
                <w:szCs w:val="21"/>
                <w:highlight w:val="none"/>
                <w:lang w:val="en-US" w:eastAsia="zh-CN" w:bidi="ar"/>
              </w:rPr>
              <w:t xml:space="preserve">，且无熔融，滴落现象。</w:t>
            </w:r>
            <w:r>
              <w:rPr>
                <w:rStyle w:val="1126"/>
                <w:rFonts w:hint="eastAsia" w:ascii="宋体" w:hAnsi="宋体" w:eastAsia="宋体" w:cs="宋体"/>
                <w:color w:val="auto"/>
                <w:sz w:val="21"/>
                <w:szCs w:val="21"/>
                <w:highlight w:val="none"/>
                <w:lang w:val="en-US" w:eastAsia="zh-CN" w:bidi="ar"/>
              </w:rPr>
              <w:br/>
            </w:r>
            <w:r>
              <w:rPr>
                <w:rStyle w:val="1126"/>
                <w:rFonts w:hint="eastAsia" w:ascii="宋体" w:hAnsi="宋体" w:eastAsia="宋体" w:cs="宋体"/>
                <w:color w:val="auto"/>
                <w:sz w:val="21"/>
                <w:szCs w:val="21"/>
                <w:highlight w:val="none"/>
                <w:lang w:val="en-US" w:eastAsia="zh-CN" w:bidi="ar"/>
              </w:rPr>
              <w:t xml:space="preserve">15.4、断裂强力：经向干态断裂强力≥500N、纬向干态断裂强力≥400N。</w:t>
            </w:r>
            <w:r>
              <w:rPr>
                <w:rStyle w:val="1126"/>
                <w:rFonts w:hint="eastAsia" w:ascii="宋体" w:hAnsi="宋体" w:eastAsia="宋体" w:cs="宋体"/>
                <w:color w:val="auto"/>
                <w:sz w:val="21"/>
                <w:szCs w:val="21"/>
                <w:highlight w:val="none"/>
                <w:lang w:val="en-US" w:eastAsia="zh-CN" w:bidi="ar"/>
              </w:rPr>
              <w:br/>
            </w:r>
            <w:r>
              <w:rPr>
                <w:rStyle w:val="1126"/>
                <w:rFonts w:hint="eastAsia" w:ascii="宋体" w:hAnsi="宋体" w:eastAsia="宋体" w:cs="宋体"/>
                <w:color w:val="auto"/>
                <w:sz w:val="21"/>
                <w:szCs w:val="21"/>
                <w:highlight w:val="none"/>
                <w:lang w:val="en-US" w:eastAsia="zh-CN" w:bidi="ar"/>
              </w:rPr>
              <w:t xml:space="preserve">15.5、缩水率：</w:t>
            </w:r>
            <w:r>
              <w:rPr>
                <w:rStyle w:val="1124"/>
                <w:rFonts w:hint="eastAsia" w:ascii="宋体" w:hAnsi="宋体" w:eastAsia="宋体" w:cs="宋体"/>
                <w:color w:val="auto"/>
                <w:sz w:val="21"/>
                <w:szCs w:val="21"/>
                <w:highlight w:val="none"/>
                <w:lang w:val="en-US" w:eastAsia="zh-CN" w:bidi="ar"/>
              </w:rPr>
              <w:t xml:space="preserve">经过五次洗涤后</w:t>
            </w:r>
            <w:r>
              <w:rPr>
                <w:rStyle w:val="1126"/>
                <w:rFonts w:hint="eastAsia" w:ascii="宋体" w:hAnsi="宋体" w:eastAsia="宋体" w:cs="宋体"/>
                <w:color w:val="auto"/>
                <w:sz w:val="21"/>
                <w:szCs w:val="21"/>
                <w:highlight w:val="none"/>
                <w:lang w:val="en-US" w:eastAsia="zh-CN" w:bidi="ar"/>
              </w:rPr>
              <w:t xml:space="preserve">，沿经、纬向缩水率≤1.5%。</w:t>
            </w:r>
            <w:r>
              <w:rPr>
                <w:rStyle w:val="1126"/>
                <w:rFonts w:hint="eastAsia" w:ascii="宋体" w:hAnsi="宋体" w:eastAsia="宋体" w:cs="宋体"/>
                <w:color w:val="auto"/>
                <w:sz w:val="21"/>
                <w:szCs w:val="21"/>
                <w:highlight w:val="none"/>
                <w:lang w:val="en-US" w:eastAsia="zh-CN" w:bidi="ar"/>
              </w:rPr>
              <w:br/>
            </w:r>
            <w:r>
              <w:rPr>
                <w:rStyle w:val="1126"/>
                <w:rFonts w:hint="eastAsia" w:ascii="宋体" w:hAnsi="宋体" w:eastAsia="宋体" w:cs="宋体"/>
                <w:color w:val="auto"/>
                <w:sz w:val="21"/>
                <w:szCs w:val="21"/>
                <w:highlight w:val="none"/>
                <w:lang w:val="en-US" w:eastAsia="zh-CN" w:bidi="ar"/>
              </w:rPr>
              <w:t xml:space="preserve">16、衣、裤子的带电量每件均≤0.5μC。</w:t>
            </w:r>
            <w:r>
              <w:rPr>
                <w:rStyle w:val="1126"/>
                <w:rFonts w:hint="eastAsia" w:ascii="宋体" w:hAnsi="宋体" w:eastAsia="宋体" w:cs="宋体"/>
                <w:color w:val="auto"/>
                <w:sz w:val="21"/>
                <w:szCs w:val="21"/>
                <w:highlight w:val="none"/>
                <w:lang w:val="en-US" w:eastAsia="zh-CN" w:bidi="ar"/>
              </w:rPr>
              <w:br/>
            </w:r>
            <w:r>
              <w:rPr>
                <w:rStyle w:val="1126"/>
                <w:rFonts w:hint="eastAsia" w:ascii="宋体" w:hAnsi="宋体" w:eastAsia="宋体" w:cs="宋体"/>
                <w:color w:val="auto"/>
                <w:sz w:val="21"/>
                <w:szCs w:val="21"/>
                <w:highlight w:val="none"/>
                <w:lang w:val="en-US" w:eastAsia="zh-CN" w:bidi="ar"/>
              </w:rPr>
              <w:t xml:space="preserve">17、反光标志带性能：逆反射系数、热稳定性能、耐洗涤性能、高低温性能满足XF633-2006《消防员抢险救援防护服装》标准要求，</w:t>
            </w:r>
            <w:r>
              <w:rPr>
                <w:rStyle w:val="1124"/>
                <w:rFonts w:hint="eastAsia" w:ascii="宋体" w:hAnsi="宋体" w:eastAsia="宋体" w:cs="宋体"/>
                <w:color w:val="auto"/>
                <w:sz w:val="21"/>
                <w:szCs w:val="21"/>
                <w:highlight w:val="none"/>
                <w:lang w:val="en-US" w:eastAsia="zh-CN" w:bidi="ar"/>
              </w:rPr>
              <w:t xml:space="preserve">反光标志带经过25次洗涤后进行阻燃性能试验，</w:t>
            </w:r>
            <w:r>
              <w:rPr>
                <w:rStyle w:val="1126"/>
                <w:rFonts w:hint="eastAsia" w:ascii="宋体" w:hAnsi="宋体" w:eastAsia="宋体" w:cs="宋体"/>
                <w:color w:val="auto"/>
                <w:sz w:val="21"/>
                <w:szCs w:val="21"/>
                <w:highlight w:val="none"/>
                <w:lang w:val="en-US" w:eastAsia="zh-CN" w:bidi="ar"/>
              </w:rPr>
              <w:t xml:space="preserve">损毁长度≤55mm，续燃时间不大于1s，无熔融、滴落现象。</w:t>
            </w:r>
            <w:r>
              <w:rPr>
                <w:rStyle w:val="1126"/>
                <w:rFonts w:hint="eastAsia" w:ascii="宋体" w:hAnsi="宋体" w:eastAsia="宋体" w:cs="宋体"/>
                <w:color w:val="auto"/>
                <w:sz w:val="21"/>
                <w:szCs w:val="21"/>
                <w:highlight w:val="none"/>
                <w:lang w:val="en-US" w:eastAsia="zh-CN" w:bidi="ar"/>
              </w:rPr>
              <w:br/>
            </w:r>
            <w:r>
              <w:rPr>
                <w:rStyle w:val="1126"/>
                <w:rFonts w:hint="eastAsia" w:ascii="宋体" w:hAnsi="宋体" w:eastAsia="宋体" w:cs="宋体"/>
                <w:color w:val="auto"/>
                <w:sz w:val="21"/>
                <w:szCs w:val="21"/>
                <w:highlight w:val="none"/>
                <w:lang w:val="en-US" w:eastAsia="zh-CN" w:bidi="ar"/>
              </w:rPr>
              <w:t xml:space="preserve">18、衣领内部具备亲肤舒适层。                                       </w:t>
            </w:r>
            <w:r>
              <w:rPr>
                <w:rStyle w:val="1126"/>
                <w:rFonts w:hint="eastAsia" w:ascii="宋体" w:hAnsi="宋体" w:eastAsia="宋体" w:cs="宋体"/>
                <w:color w:val="auto"/>
                <w:sz w:val="21"/>
                <w:szCs w:val="21"/>
                <w:highlight w:val="none"/>
                <w:lang w:val="en-US" w:eastAsia="zh-CN" w:bidi="ar"/>
              </w:rPr>
              <w:br/>
            </w:r>
            <w:r>
              <w:rPr>
                <w:rStyle w:val="1126"/>
                <w:rFonts w:hint="eastAsia" w:ascii="宋体" w:hAnsi="宋体" w:eastAsia="宋体" w:cs="宋体"/>
                <w:color w:val="auto"/>
                <w:sz w:val="21"/>
                <w:szCs w:val="21"/>
                <w:highlight w:val="none"/>
                <w:lang w:val="en-US" w:eastAsia="zh-CN" w:bidi="ar"/>
              </w:rPr>
              <w:t xml:space="preserve">19、拉链：上衣前门襟和裤子前襟处采用不小于 8 号的树脂拉链，颜色与外层面料相匹配。</w:t>
            </w:r>
            <w:r>
              <w:rPr>
                <w:rStyle w:val="1126"/>
                <w:rFonts w:hint="eastAsia" w:ascii="宋体" w:hAnsi="宋体" w:eastAsia="宋体" w:cs="宋体"/>
                <w:color w:val="auto"/>
                <w:sz w:val="21"/>
                <w:szCs w:val="21"/>
                <w:highlight w:val="none"/>
                <w:lang w:val="en-US" w:eastAsia="zh-CN" w:bidi="ar"/>
              </w:rPr>
              <w:br/>
            </w:r>
            <w:r>
              <w:rPr>
                <w:rStyle w:val="1126"/>
                <w:rFonts w:hint="eastAsia" w:ascii="宋体" w:hAnsi="宋体" w:eastAsia="宋体" w:cs="宋体"/>
                <w:color w:val="auto"/>
                <w:sz w:val="21"/>
                <w:szCs w:val="21"/>
                <w:highlight w:val="none"/>
                <w:lang w:val="en-US" w:eastAsia="zh-CN" w:bidi="ar"/>
              </w:rPr>
              <w:t xml:space="preserve">20、腰带：插扣式腰带，颜色与救援服一致，表面光滑无毛刺和锋利的边缘，五金件须经过防腐蚀处理，佩戴舒适。</w:t>
            </w:r>
            <w:r/>
          </w:p>
        </w:tc>
      </w:tr>
      <w:tr>
        <w:trPr>
          <w:trHeight w:val="1563"/>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抢险救援服（夏）</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5421"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1、XF633-2006《消防员抢险救援防护服装》标准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2、结构组成：具备原液芳纶、阻燃黏胶等纤维交织而成的双层结构织物</w:t>
            </w:r>
            <w:r>
              <w:rPr>
                <w:rFonts w:hint="eastAsia" w:ascii="宋体" w:hAnsi="宋体" w:eastAsia="宋体" w:cs="宋体"/>
                <w:i w:val="0"/>
                <w:iCs w:val="0"/>
                <w:color w:val="auto"/>
                <w:sz w:val="21"/>
                <w:szCs w:val="21"/>
                <w:highlight w:val="none"/>
                <w:u w:val="none"/>
                <w:lang w:val="en-US" w:eastAsia="zh-CN" w:bidi="ar"/>
              </w:rPr>
              <w:t xml:space="preserve">，具备防静电、阻燃、耐磨、轻便、柔软、弹性、外层拒水防油、内层吸湿排汗等性能。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3、阻燃性能：防护层面料与肩部、膝部、臀部、肘部等部位的加强材料，</w:t>
            </w:r>
            <w:r>
              <w:rPr>
                <w:rStyle w:val="1123"/>
                <w:rFonts w:hint="eastAsia" w:ascii="宋体" w:hAnsi="宋体" w:eastAsia="宋体" w:cs="宋体"/>
                <w:color w:val="auto"/>
                <w:sz w:val="21"/>
                <w:szCs w:val="21"/>
                <w:highlight w:val="none"/>
                <w:lang w:val="en-US" w:eastAsia="zh-CN" w:bidi="ar"/>
              </w:rPr>
              <w:t xml:space="preserve">经过25次洗涤后进行阻燃性能试验</w:t>
            </w:r>
            <w:r>
              <w:rPr>
                <w:rStyle w:val="1133"/>
                <w:rFonts w:hint="eastAsia" w:ascii="宋体" w:hAnsi="宋体" w:eastAsia="宋体" w:cs="宋体"/>
                <w:color w:val="auto"/>
                <w:sz w:val="21"/>
                <w:szCs w:val="21"/>
                <w:highlight w:val="none"/>
                <w:lang w:val="en-US" w:eastAsia="zh-CN" w:bidi="ar"/>
              </w:rPr>
              <w:t xml:space="preserve">，损毁长度≤40mm，续燃时间不大于1s且无熔融、滴落现象。 </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4、断裂强力：面料经向干态断裂强力≥870N；纬向干态断裂强力≥750N。 </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5、撕破强力：面料经向撕破强力≥220N、纬向撕破强力≥230N。</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6、热稳定性能</w:t>
            </w:r>
            <w:r>
              <w:rPr>
                <w:rStyle w:val="1123"/>
                <w:rFonts w:hint="eastAsia" w:ascii="宋体" w:hAnsi="宋体" w:eastAsia="宋体" w:cs="宋体"/>
                <w:color w:val="auto"/>
                <w:sz w:val="21"/>
                <w:szCs w:val="21"/>
                <w:highlight w:val="none"/>
                <w:lang w:val="en-US" w:eastAsia="zh-CN" w:bidi="ar"/>
              </w:rPr>
              <w:t xml:space="preserve">：经（180±5）℃热稳定性能试验后</w:t>
            </w:r>
            <w:r>
              <w:rPr>
                <w:rStyle w:val="1133"/>
                <w:rFonts w:hint="eastAsia" w:ascii="宋体" w:hAnsi="宋体" w:eastAsia="宋体" w:cs="宋体"/>
                <w:color w:val="auto"/>
                <w:sz w:val="21"/>
                <w:szCs w:val="21"/>
                <w:highlight w:val="none"/>
                <w:lang w:val="en-US" w:eastAsia="zh-CN" w:bidi="ar"/>
              </w:rPr>
              <w:t xml:space="preserve">，防护层面料与肩部、膝部、臀部、肘部等部位的加强材料沿经、纬方向尺寸变化率≤2%，且试样表面无明显变化。</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7、色牢度：防护层面料的耐水摩擦色牢度、耐洗沾色牢度、耐光色牢度≥四级。</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8、 色差：前领与前身、袖与前身、袋与前身、左右前身及其它表面部位的色差≥四级。</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9、外层表面抗湿性能：防护层面料洗涤五次后，沾水等级≥四级。 </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10、★内层表面吸湿性、速干性：</w:t>
            </w:r>
            <w:r>
              <w:rPr>
                <w:rStyle w:val="1123"/>
                <w:rFonts w:hint="eastAsia" w:ascii="宋体" w:hAnsi="宋体" w:eastAsia="宋体" w:cs="宋体"/>
                <w:color w:val="auto"/>
                <w:sz w:val="21"/>
                <w:szCs w:val="21"/>
                <w:highlight w:val="none"/>
                <w:lang w:val="en-US" w:eastAsia="zh-CN" w:bidi="ar"/>
              </w:rPr>
              <w:t xml:space="preserve">按照 GB/T 21655.1-2023</w:t>
            </w:r>
            <w:r>
              <w:rPr>
                <w:rStyle w:val="1133"/>
                <w:rFonts w:hint="eastAsia" w:ascii="宋体" w:hAnsi="宋体" w:eastAsia="宋体" w:cs="宋体"/>
                <w:color w:val="auto"/>
                <w:sz w:val="21"/>
                <w:szCs w:val="21"/>
                <w:highlight w:val="none"/>
                <w:lang w:val="en-US" w:eastAsia="zh-CN" w:bidi="ar"/>
              </w:rPr>
              <w:t xml:space="preserve">《纺织品 吸湿速干性的评定》/FZ/T 01071-2008检测</w:t>
            </w:r>
            <w:r>
              <w:rPr>
                <w:rStyle w:val="1123"/>
                <w:rFonts w:hint="eastAsia" w:ascii="宋体" w:hAnsi="宋体" w:eastAsia="宋体" w:cs="宋体"/>
                <w:color w:val="auto"/>
                <w:sz w:val="21"/>
                <w:szCs w:val="21"/>
                <w:highlight w:val="none"/>
                <w:lang w:val="en-US" w:eastAsia="zh-CN" w:bidi="ar"/>
              </w:rPr>
              <w:t xml:space="preserve">，洗涤五次后</w:t>
            </w:r>
            <w:r>
              <w:rPr>
                <w:rStyle w:val="1133"/>
                <w:rFonts w:hint="eastAsia" w:ascii="宋体" w:hAnsi="宋体" w:eastAsia="宋体" w:cs="宋体"/>
                <w:color w:val="auto"/>
                <w:sz w:val="21"/>
                <w:szCs w:val="21"/>
                <w:highlight w:val="none"/>
                <w:lang w:val="en-US" w:eastAsia="zh-CN" w:bidi="ar"/>
              </w:rPr>
              <w:t xml:space="preserve">，内层面料吸水率≥130%，滴水扩散时间≤18s，芯吸高度≥90mm，蒸发速率≥0.6g/h，透湿量≥8500g/(㎡.d)。</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11、拉伸弹性：按照 FZ/T 01034-2008《纺织品 机织物拉伸弹性试验方法》，在定力为30N的条件下进行检测，定力伸长率（纬向）≥12%，弹性回复率（纬向）≥93%。</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12、缩水率：</w:t>
            </w:r>
            <w:r>
              <w:rPr>
                <w:rStyle w:val="1123"/>
                <w:rFonts w:hint="eastAsia" w:ascii="宋体" w:hAnsi="宋体" w:eastAsia="宋体" w:cs="宋体"/>
                <w:color w:val="auto"/>
                <w:sz w:val="21"/>
                <w:szCs w:val="21"/>
                <w:highlight w:val="none"/>
                <w:lang w:val="en-US" w:eastAsia="zh-CN" w:bidi="ar"/>
              </w:rPr>
              <w:t xml:space="preserve">经过五次洗涤后</w:t>
            </w:r>
            <w:r>
              <w:rPr>
                <w:rStyle w:val="1133"/>
                <w:rFonts w:hint="eastAsia" w:ascii="宋体" w:hAnsi="宋体" w:eastAsia="宋体" w:cs="宋体"/>
                <w:color w:val="auto"/>
                <w:sz w:val="21"/>
                <w:szCs w:val="21"/>
                <w:highlight w:val="none"/>
                <w:lang w:val="en-US" w:eastAsia="zh-CN" w:bidi="ar"/>
              </w:rPr>
              <w:t xml:space="preserve">，沿经、纬向缩水率≤2%。</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13、起毛起球性能：按照 GB/T 4802.1-2008《纺织品 织物起毛起球性能的测定》检测，≥3级。</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14、针距密度：各部位明暗线每 3cm≥12针，包缝线每 3cm≥9针。</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15、接缝断裂强力：面料接缝经纬向断裂强力≥710N。</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16、防静电性能：上衣、裤子的带电量每件均≤0.4μC。      </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17、服装质量：总质量不大于 1.3kg（不含腰带和行军帽）。                                                                                                                           </w:t>
            </w:r>
            <w:r>
              <w:rPr>
                <w:rStyle w:val="1133"/>
                <w:rFonts w:hint="eastAsia" w:ascii="宋体" w:hAnsi="宋体" w:eastAsia="宋体" w:cs="宋体"/>
                <w:color w:val="auto"/>
                <w:sz w:val="21"/>
                <w:szCs w:val="21"/>
                <w:highlight w:val="none"/>
                <w:lang w:val="en-US" w:eastAsia="zh-CN" w:bidi="ar"/>
              </w:rPr>
              <w:t xml:space="preserve">                                                                                                                                                                                                18、所有硬质附件表面均须光滑，无毛刺和锋利的边缘，五金件还须经过防腐蚀处理，经（180±5）℃热稳定性能试验后，保持原有功能。</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19、缝纫线热稳定性能：经（180±5）℃热稳定性能试验后，缝纫线无熔融现象。</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20、反光标志带性能：逆反射系数、热稳定性能、耐洗涤性能、高低温性能满足</w:t>
            </w:r>
            <w:r>
              <w:rPr>
                <w:rStyle w:val="1123"/>
                <w:rFonts w:hint="eastAsia" w:ascii="宋体" w:hAnsi="宋体" w:eastAsia="宋体" w:cs="宋体"/>
                <w:color w:val="auto"/>
                <w:sz w:val="21"/>
                <w:szCs w:val="21"/>
                <w:highlight w:val="none"/>
                <w:lang w:val="en-US" w:eastAsia="zh-CN" w:bidi="ar"/>
              </w:rPr>
              <w:t xml:space="preserve"> XF 633-2006</w:t>
            </w:r>
            <w:r>
              <w:rPr>
                <w:rStyle w:val="1133"/>
                <w:rFonts w:hint="eastAsia" w:ascii="宋体" w:hAnsi="宋体" w:eastAsia="宋体" w:cs="宋体"/>
                <w:color w:val="auto"/>
                <w:sz w:val="21"/>
                <w:szCs w:val="21"/>
                <w:highlight w:val="none"/>
                <w:lang w:val="en-US" w:eastAsia="zh-CN" w:bidi="ar"/>
              </w:rPr>
              <w:t xml:space="preserve">《消防员抢险救援防护服装》标准要求，</w:t>
            </w:r>
            <w:r>
              <w:rPr>
                <w:rStyle w:val="1123"/>
                <w:rFonts w:hint="eastAsia" w:ascii="宋体" w:hAnsi="宋体" w:eastAsia="宋体" w:cs="宋体"/>
                <w:color w:val="auto"/>
                <w:sz w:val="21"/>
                <w:szCs w:val="21"/>
                <w:highlight w:val="none"/>
                <w:lang w:val="en-US" w:eastAsia="zh-CN" w:bidi="ar"/>
              </w:rPr>
              <w:t xml:space="preserve">反光标志带经过25次洗涤后进行阻燃性能试验</w:t>
            </w:r>
            <w:r>
              <w:rPr>
                <w:rStyle w:val="1133"/>
                <w:rFonts w:hint="eastAsia" w:ascii="宋体" w:hAnsi="宋体" w:eastAsia="宋体" w:cs="宋体"/>
                <w:color w:val="auto"/>
                <w:sz w:val="21"/>
                <w:szCs w:val="21"/>
                <w:highlight w:val="none"/>
                <w:lang w:val="en-US" w:eastAsia="zh-CN" w:bidi="ar"/>
              </w:rPr>
              <w:t xml:space="preserve">，损毁长度≤40mm，续燃时间不大于2s，无熔融、滴落现象。</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21、衣领内部采用亲肤舒适层。                                       </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22、拉链：上衣前门襟和裤子前襟处采用不小于 8 号的树脂拉链，颜色与外层面料相匹配。</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23、腰带：插扣式腰带，颜色与救援服一致，表面光滑无毛刺和锋利的边缘，五金件须经过防腐蚀处理，佩戴舒适。</w:t>
            </w:r>
            <w:r/>
          </w:p>
        </w:tc>
      </w:tr>
      <w:tr>
        <w:trPr>
          <w:trHeight w:val="5758"/>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抢险救援头盔</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5421"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1、抢险救援头盔可实现消防抢险救援、山岳救援及轻度浅层水域救援现场，由外部帽壳、帽衬、下颌带、内置防护眼罩、外置双层隔热眼罩、前置照明模组、护耳（选配）等组成；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2、重量（不含附件）:750g±50g；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3、尺寸（壳体）：长度≥285 mm 宽度≥230 mm 高度≥170 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5、材质：外壳及帽衬采用高温热塑性材料，织带具备阻燃丙烯酸和聚酯混合，衬垫为弹性聚酰胺聚酯材料；</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6、头围尺寸： 52-65cm可调；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7、帽壳类型：带透气孔帽壳；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8、头盔颜色：红色；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9、下颌带：3点式下颌带、宽度≥13 mm，具备阻燃材质制作而成，配有快速释放搭扣，可调节佩戴高度和佩戴深度，更多角度将头盔调节至最佳佩戴效果；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10、可调节部分：具备人体工程学旋钮轮，可根据不同头型及头围尺寸调整旋钮位置、 佩戴高度3档可调 、佩戴角度3档可调；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内置照明模块：位于帽子正前方，具备双光源，可同时提供泛光照明和强光照明，也可分别开启，帽壳后部集成方位灯，开关位于帽壳后部，可控制前照灯的开－关调节，防护等级：IP67、采用3节5号碱性电池供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使用时间：泛光照明，不小于110流明，≥5小时、强光照明，不小于150流明，≥2.5小时、组合式照明，不小于250流明，≥1.5小时，低电量模式，不小于30流明，≥45分钟，呼救模式：强光灯、方位灯同时闪烁；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12、外置防护眼罩：重量165 g ± 10g，具有1级光学性能，可防护固体颗粒物、液体飞溅、气体和细小尘埃颗粒，熔融状金属，120m/s高速颗粒物冲击，防刮，防雾；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13、内置防护眼镜：重量100g±10g，具备双轴调节，贴合面部，镜片防雾；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14、帽壳外部粘贴有反光标识（根据采购人要求进行定制）</w:t>
            </w:r>
            <w:r/>
          </w:p>
        </w:tc>
      </w:tr>
      <w:tr>
        <w:trPr>
          <w:trHeight w:val="4481"/>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抢险救援手套</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5421"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Style w:val="1133"/>
                <w:rFonts w:hint="eastAsia" w:ascii="宋体" w:hAnsi="宋体" w:eastAsia="宋体" w:cs="宋体"/>
                <w:color w:val="auto"/>
                <w:sz w:val="21"/>
                <w:szCs w:val="21"/>
                <w:highlight w:val="none"/>
                <w:lang w:val="en-US" w:eastAsia="zh-CN" w:bidi="ar"/>
              </w:rPr>
              <w:t xml:space="preserve">1、满足XF633-2006《消防员抢险救援防护服装》标准。</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2、手套具备立体剪裁，符合人体工程学，贴合手部，增加灵活性和舒适性。</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3、指尖采用翻转式设计，增加指尖的贴合度。</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4、手背关节处及除大拇指以外其他四指指背采用有凸起的防护硬壳设计，增强抗冲击防护性，具有手骨保护功能。</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5、阻燃性能：续燃时间：经向≤0s；纬向≤0s，损毁长度：经向≤15mm；纬向≤15mm。</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6、热稳定性能：手套尺寸变化率：长方向≤1.2%；宽方向≤1.7%；手套经180℃温度5min后，试样表面无明显变化，且无熔融、熔滴和剥离现象。</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7、耐磨性能：≥8000次。</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8、耐撕破性能：掌心面：经向≥300N；纬向≥200N；背面外层：经向≥280N；纬向≥200N。</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9、抗切割性能：≥15N</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10、★抗机械刺穿性能：掌心面≥300N</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11、灵巧性能：≤105%</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12、抓握性能：≥105%</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13、穿戴性能：≤6s</w:t>
            </w:r>
            <w:r/>
          </w:p>
        </w:tc>
      </w:tr>
      <w:tr>
        <w:trPr>
          <w:trHeight w:val="1926"/>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扁带</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根</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5421"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1.材质：涤纶；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2.工作负荷：≥5kN；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3.极限负荷：≥22kN；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4.长度：200cm；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5.宽度≥20mm；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6.符合XF 494-2023《消防用防坠落装备》标准，</w:t>
            </w:r>
            <w:r/>
          </w:p>
        </w:tc>
      </w:tr>
      <w:tr>
        <w:trPr>
          <w:trHeight w:val="2077"/>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防盗窗撬棒</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根</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5421"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通过快速拧断钢管凿击玻璃等功能来将防盗窗拆除，自带多种扳手功能最大限度的节省了破拆时间，具有安全、高效快速等特点；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1、尖头破窗器，可凿击钢板玻璃；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2、双向切割刃口，可切割方管、圆管不锈钢及铁制防盗窗；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3、具有不少于10种扳手功能；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4、方槽刃口，可起撬防盗窗圆管；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5、长度：≦85cm；</w:t>
            </w:r>
            <w:r/>
          </w:p>
        </w:tc>
      </w:tr>
      <w:tr>
        <w:trPr>
          <w:trHeight w:val="90"/>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玻璃破碎器</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5421"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用于救援现场切割各种汽车玻璃、建筑玻璃等，整套工具轻便、易携带，可满足常见各类破拆玻璃的使用要求。                                               </w:t>
            </w:r>
            <w:r>
              <w:rPr>
                <w:rFonts w:hint="eastAsia" w:ascii="宋体" w:hAnsi="宋体" w:eastAsia="宋体" w:cs="宋体"/>
                <w:i w:val="0"/>
                <w:iCs w:val="0"/>
                <w:color w:val="auto"/>
                <w:sz w:val="21"/>
                <w:szCs w:val="21"/>
                <w:highlight w:val="none"/>
                <w:u w:val="none"/>
                <w:lang w:val="en-US" w:eastAsia="zh-CN" w:bidi="ar"/>
              </w:rPr>
              <w:t xml:space="preserve">                        1、满足GB 32460-2015 《消防应急救援装备手动破拆工具通用技术条件》                                                                                       2、电动切割器1个：重量≤1.2kg，切割速度≥150cm/min(≥4mm汽车玻璃）；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3、玻璃凿切器1个：长度≥250mm，切割玻璃厚度≤12mm，重量≤0.6kg；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4、弹性破窗器1个：长度≥140mm，直径≤18mm，重量≤145g，破拆≥4mm汽车钢化玻璃；                                                                 5、玻璃吸盘2个：直径≥116mm ，吸附力≥50kg，重量≤330g；                                                                      </w:t>
            </w:r>
            <w:r>
              <w:rPr>
                <w:rFonts w:hint="eastAsia" w:ascii="宋体" w:hAnsi="宋体" w:eastAsia="宋体" w:cs="宋体"/>
                <w:i w:val="0"/>
                <w:iCs w:val="0"/>
                <w:color w:val="auto"/>
                <w:sz w:val="21"/>
                <w:szCs w:val="21"/>
                <w:highlight w:val="none"/>
                <w:u w:val="none"/>
                <w:lang w:val="en-US" w:eastAsia="zh-CN" w:bidi="ar"/>
              </w:rPr>
              <w:br/>
            </w:r>
            <w:r>
              <w:rPr>
                <w:rStyle w:val="1123"/>
                <w:rFonts w:hint="eastAsia" w:ascii="宋体" w:hAnsi="宋体" w:eastAsia="宋体" w:cs="宋体"/>
                <w:color w:val="auto"/>
                <w:sz w:val="21"/>
                <w:szCs w:val="21"/>
                <w:highlight w:val="none"/>
                <w:lang w:val="en-US" w:eastAsia="zh-CN" w:bidi="ar"/>
              </w:rPr>
              <w:t xml:space="preserve">6、具备电池2块，充电器1个，护目镜1副，专用手套1付，ABS工具箱1个；</w:t>
            </w:r>
            <w:r/>
          </w:p>
        </w:tc>
      </w:tr>
      <w:tr>
        <w:trPr>
          <w:trHeight w:val="3408"/>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哈里根</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根</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5421"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Style w:val="1133"/>
                <w:rFonts w:hint="eastAsia" w:ascii="宋体" w:hAnsi="宋体" w:eastAsia="宋体" w:cs="宋体"/>
                <w:color w:val="auto"/>
                <w:sz w:val="21"/>
                <w:szCs w:val="21"/>
                <w:highlight w:val="none"/>
                <w:lang w:val="en-US" w:eastAsia="zh-CN" w:bidi="ar"/>
              </w:rPr>
              <w:t xml:space="preserve">1、符合GB32459-2015《消防应急救援装备手动破拆工具通用技术条件》</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2、结构及材质：拔钉器、十字撬工具头为一体式锻造，材质为合金钢，工具牢固可靠表面光洁不应有裂纹、毛刺、磕碰等影响操作和性能缺陷。</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3、手柄绝缘，手柄部分浸水2h后绝缘电阻不小于300MΩ。</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4、工具头刃口硬度范围HRC45-55。</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5、撬头部位能承受不小于7800N 的载荷，且刃口应无明显卷刃、崩刃和开裂等现象；工具头部与手柄施加≥12000N拉力时，不应拉脱。</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6、十字撬撬头最小楔入缝隙≤3mm,尖头可击穿≥2mm厚钢板，</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7、整体尺寸：≥760mm且</w:t>
            </w:r>
            <w:r>
              <w:rPr>
                <w:rStyle w:val="1125"/>
                <w:rFonts w:hint="eastAsia" w:ascii="宋体" w:hAnsi="宋体" w:eastAsia="宋体" w:cs="宋体"/>
                <w:color w:val="auto"/>
                <w:sz w:val="21"/>
                <w:szCs w:val="21"/>
                <w:highlight w:val="none"/>
                <w:lang w:val="en-US" w:eastAsia="zh-CN" w:bidi="ar"/>
              </w:rPr>
              <w:t xml:space="preserve">≤</w:t>
            </w:r>
            <w:r>
              <w:rPr>
                <w:rStyle w:val="1133"/>
                <w:rFonts w:hint="eastAsia" w:ascii="宋体" w:hAnsi="宋体" w:eastAsia="宋体" w:cs="宋体"/>
                <w:color w:val="auto"/>
                <w:sz w:val="21"/>
                <w:szCs w:val="21"/>
                <w:highlight w:val="none"/>
                <w:lang w:val="en-US" w:eastAsia="zh-CN" w:bidi="ar"/>
              </w:rPr>
              <w:t xml:space="preserve">800mm</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8、重量≤5kg</w:t>
            </w:r>
            <w:r/>
          </w:p>
        </w:tc>
      </w:tr>
      <w:tr>
        <w:trPr>
          <w:trHeight w:val="2487"/>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消防大斧</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5421"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1、PVC绝缘柄防滑减震，握持舒适，效降低握持斧柄的劳动疲劳强度。手柄总长≥90cm，头重重量≥1.58kg。末端具备有穿绳孔方便穿绳。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2、斧头45#碳钢锻打，刃口热处理，硬度48-55之间，可一次性砍断12mmQ235A热轧圆钢。斧头和手柄的连接处经过灌胶处理，压力机注入专业胶防止掉头，大大增加使用者安全系数。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3、具备砍、剁等功能。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4、可承受29400N（3000kg）斧头与斧柄不拉脱。</w:t>
            </w:r>
            <w:r/>
          </w:p>
        </w:tc>
      </w:tr>
      <w:tr>
        <w:trPr>
          <w:trHeight w:val="1893"/>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绝缘剪</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5421"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1、组成：由工作钳口、绝缘部分和握手三部分组成；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2、绝缘剪断钳符合</w:t>
            </w:r>
            <w:r>
              <w:rPr>
                <w:rStyle w:val="1123"/>
                <w:rFonts w:hint="eastAsia" w:ascii="宋体" w:hAnsi="宋体" w:eastAsia="宋体" w:cs="宋体"/>
                <w:color w:val="auto"/>
                <w:sz w:val="21"/>
                <w:szCs w:val="21"/>
                <w:highlight w:val="none"/>
                <w:lang w:val="en-US" w:eastAsia="zh-CN" w:bidi="ar"/>
              </w:rPr>
              <w:t xml:space="preserve">DL/T 1476-2023</w:t>
            </w:r>
            <w:r>
              <w:rPr>
                <w:rStyle w:val="1133"/>
                <w:rFonts w:hint="eastAsia" w:ascii="宋体" w:hAnsi="宋体" w:eastAsia="宋体" w:cs="宋体"/>
                <w:color w:val="auto"/>
                <w:sz w:val="21"/>
                <w:szCs w:val="21"/>
                <w:highlight w:val="none"/>
                <w:lang w:val="en-US" w:eastAsia="zh-CN" w:bidi="ar"/>
              </w:rPr>
              <w:t xml:space="preserve">《电力安全工器具预防性试验规程》；</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3、可对带电线缆进行安全操作，剪柄全部采用绝缘材质包裹，耐电压可达5000V；</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4、剪切性能：直径16mm以下电线、钢筋；</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5、剪切硬度：≥HRC30;</w:t>
            </w:r>
            <w:r/>
          </w:p>
        </w:tc>
      </w:tr>
      <w:tr>
        <w:trPr>
          <w:trHeight w:val="1665"/>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机动链锯</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5421"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1、功率≥2.4kw；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2、风冷二冲程引擎；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3、排量≤55cc；</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4、导板长度≥18寸；</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5、重量≤5kg （不含导板链条）；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6、链条最大速度≥20m/s；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7、油箱容积≥0.45L；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8、润滑油箱容积≥0.25L；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9、声能级：≤120dB（A）；</w:t>
            </w:r>
            <w:r/>
          </w:p>
        </w:tc>
      </w:tr>
      <w:tr>
        <w:trPr>
          <w:trHeight w:val="3203"/>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金属切割机</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5421"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Style w:val="1133"/>
                <w:rFonts w:hint="eastAsia" w:ascii="宋体" w:hAnsi="宋体" w:eastAsia="宋体" w:cs="宋体"/>
                <w:color w:val="auto"/>
                <w:sz w:val="21"/>
                <w:szCs w:val="21"/>
                <w:highlight w:val="none"/>
                <w:lang w:val="en-US" w:eastAsia="zh-CN" w:bidi="ar"/>
              </w:rPr>
              <w:t xml:space="preserve">具备风冷二冲程发动机，具有先进的发动机引擎和空气过滤装置，锯片罩可以无极调整。皮带松紧度为一键式调节方式。合理的人体工程学设计，手柄震动低，操作舒适，具备长时间救援工作。</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1、汽缸排量(CC)</w:t>
            </w:r>
            <w:r>
              <w:rPr>
                <w:rStyle w:val="1125"/>
                <w:rFonts w:hint="eastAsia" w:ascii="宋体" w:hAnsi="宋体" w:eastAsia="宋体" w:cs="宋体"/>
                <w:color w:val="auto"/>
                <w:sz w:val="21"/>
                <w:szCs w:val="21"/>
                <w:highlight w:val="none"/>
                <w:lang w:val="en-US" w:eastAsia="zh-CN" w:bidi="ar"/>
              </w:rPr>
              <w:t xml:space="preserve">≤</w:t>
            </w:r>
            <w:r>
              <w:rPr>
                <w:rStyle w:val="1133"/>
                <w:rFonts w:hint="eastAsia" w:ascii="宋体" w:hAnsi="宋体" w:eastAsia="宋体" w:cs="宋体"/>
                <w:color w:val="auto"/>
                <w:sz w:val="21"/>
                <w:szCs w:val="21"/>
                <w:highlight w:val="none"/>
                <w:lang w:val="en-US" w:eastAsia="zh-CN" w:bidi="ar"/>
              </w:rPr>
              <w:t xml:space="preserve">95</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2、功率(kw)≥4.8</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3、燃油箱体积(L)≥0.8</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4、空转速度（rpm）≥ 2700</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5、质量(无燃油、润滑油、锯片)(kg)≤12</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6、噪音水平(dB)≤104</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7、锯片规格(mm)≥400</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8、切割深度(mm)≥150</w:t>
            </w:r>
            <w:r/>
          </w:p>
        </w:tc>
      </w:tr>
      <w:tr>
        <w:trPr>
          <w:trHeight w:val="6077"/>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数字手持台</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5421"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Style w:val="1133"/>
                <w:rFonts w:hint="eastAsia" w:ascii="宋体" w:hAnsi="宋体" w:eastAsia="宋体" w:cs="宋体"/>
                <w:color w:val="auto"/>
                <w:sz w:val="21"/>
                <w:szCs w:val="21"/>
                <w:highlight w:val="none"/>
                <w:lang w:val="en-US" w:eastAsia="zh-CN" w:bidi="ar"/>
              </w:rPr>
              <w:t xml:space="preserve">1、频率范围：350-400MHz</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2、信道容量：≥1024</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3、区域容量：≥64</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4、发射功率：高功率3.5W，低功率1W</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5、电池容量：≥3100mAh</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6、整机重量：≤340g（含标配电池和天线）</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7、尺寸（长*宽*高）：≤126*54.5*36.5mm（不含天线）</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8、频率稳定度：±0.5ppm</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9、数字/模拟灵敏度：≤0.18uV</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★10、防爆等级：≥ Ex ib IIB T4 Gb / Ex ib IIIC T130℃ </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11、旋钮和显示屏：支持双旋钮，分为音量/开关旋钮和信道旋钮，其中信道旋钮为无极性旋钮，可快速切换信道；显示屏尺寸：≥2.0英寸半透彩屏，分辨率不小于240*320，且不少于6行文本显示</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12、不低于IP68的国标外壳防护等级</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★13、授时方式检验：在PDT集群模式、MPT集群模式、PDT数字常规、模拟常规模式下均支持时钟芯片授时；在PDT数字常规模式下，支持北斗授时；在PDT集群模式下，支持系统广播、北斗两种授时方式</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14、中文短信功能检验：在PDT集群和PDT数字常规模式下，支持中文短信的发射和接收，最大支持512个汉字字符</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15、电测功能检验：后台实时显示终端的场强、LAI、FER；可显示解析后的空口信令</w:t>
            </w:r>
            <w:r>
              <w:rPr>
                <w:rStyle w:val="1133"/>
                <w:rFonts w:hint="eastAsia" w:ascii="宋体" w:hAnsi="宋体" w:eastAsia="宋体" w:cs="宋体"/>
                <w:color w:val="auto"/>
                <w:sz w:val="21"/>
                <w:szCs w:val="21"/>
                <w:highlight w:val="none"/>
                <w:lang w:val="en-US" w:eastAsia="zh-CN" w:bidi="ar"/>
              </w:rPr>
              <w:br/>
            </w:r>
            <w:r>
              <w:rPr>
                <w:rStyle w:val="1123"/>
                <w:rFonts w:hint="eastAsia" w:ascii="宋体" w:hAnsi="宋体" w:eastAsia="宋体" w:cs="宋体"/>
                <w:color w:val="auto"/>
                <w:sz w:val="21"/>
                <w:szCs w:val="21"/>
                <w:highlight w:val="none"/>
                <w:lang w:val="en-US" w:eastAsia="zh-CN" w:bidi="ar"/>
              </w:rPr>
              <w:t xml:space="preserve">16、具备加密卡1张、备用电板1块、肩咪1套。</w:t>
            </w:r>
            <w:r/>
          </w:p>
        </w:tc>
      </w:tr>
      <w:tr>
        <w:trPr>
          <w:trHeight w:val="6077"/>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胸佩式防爆照明灯</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5421"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1.可实现工作光，强光，爆闪三挡调节，满足照明及信号指示的需求.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2.灯具可手持，腰佩等多种携带使用方式，灯头可在90范围内任意调节角度，无照明死角。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3.灯具需具有聚光，泛光，爆闪，45度辅助行走灯，激光。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4.★灯具具备摄像模块：可循环录像，具备可视化显示屏，可通过显示屏查看图像和视频。也可通过Type-连接电脑查看视频。同时也可通过手机APP查看视频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5.电量显示功能：五段式电量显示。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6.主要技术参数：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6.1额定电压≥7.2V.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6.2额定容量≥5Ah.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6.3防护等级IP66/IP68(1.5m,1h).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6.4功率≥5W.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6.5 ★5米处强光最大照度≥3000lx.弱光最大照度≥1500lx，强光色温达≥5700K</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6.6产品可在温度-20℃~+40℃环境中可靠使用。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6.7连续照明时间强光：≥8h，工作光：≥15h，节能光：≥200h，充电时间5h，充电接口Type -C.</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6.8电池使用寿命1000循环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6.9重量≤1000g.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7.产品整体符合GB30734-2014消防员照明灯具标准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8.防爆等级不低于EX nR II C T4 Gc ，</w:t>
            </w:r>
            <w:r>
              <w:rPr>
                <w:rFonts w:hint="eastAsia" w:ascii="宋体" w:hAnsi="宋体" w:eastAsia="宋体" w:cs="宋体"/>
                <w:b w:val="0"/>
                <w:bCs w:val="0"/>
                <w:color w:val="auto"/>
                <w:sz w:val="21"/>
                <w:szCs w:val="21"/>
                <w:highlight w:val="none"/>
              </w:rPr>
              <w:t xml:space="preserve">提供国家级或国家认可的第三方检测检验机构出具的防爆合格证</w:t>
            </w:r>
            <w:r>
              <w:rPr>
                <w:rFonts w:hint="eastAsia" w:ascii="宋体" w:hAnsi="宋体" w:eastAsia="宋体" w:cs="宋体"/>
                <w:b w:val="0"/>
                <w:bCs w:val="0"/>
                <w:color w:val="auto"/>
                <w:sz w:val="21"/>
                <w:szCs w:val="21"/>
                <w:highlight w:val="none"/>
                <w:lang w:eastAsia="zh-CN"/>
              </w:rPr>
              <w:t xml:space="preserve">。</w:t>
            </w:r>
            <w:r/>
          </w:p>
        </w:tc>
      </w:tr>
      <w:tr>
        <w:trPr>
          <w:trHeight w:val="4264"/>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救生照明线</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根</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5421" w:type="dxa"/>
            <w:vAlign w:val="top"/>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1、符合 GB 26783-2011《消防救生照明线》标准要求；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2、结构组成：供电源、发光线、绕线盘</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3、在可视度低的环境场所，用于指引逃生路线。"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4、发光亮度：≥19cd/m2，具有常亮和频闪两种功能；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5、闪烁频率：1.5Hz；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6、绝缘电阻：≥50MΩ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7、常亮工作时间：≥8h；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8、闪亮工作时间：≥16h；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9、表面最高温度：≤60℃；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★10、单条线体拉力：≥1000N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11、系统供电电压：DC12V；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12、线体长100米，线体具有 360°全方位防水设计，支持消防水枪冲击和长时间泡水测试。</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13、电源和绕线盘一体化结构设计，无需额外电源箱供电。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14、照明线具备导向功能，线体每间隔（2±0.1）m 有一个清晰可见的方向标注。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★15、整体质量：≤4.5Kg；</w:t>
            </w:r>
            <w:r/>
          </w:p>
        </w:tc>
      </w:tr>
      <w:tr>
        <w:trPr>
          <w:trHeight w:val="7355"/>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单兵热成像仪</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5421"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1、手持式热像仪符合XF/T 635-2023《消防用红外热像仪》标准；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2、显示屏：≥ 3.2英寸，LCD 分辨率 ≥ 640 × 480；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3、图像模式：支持热成像、可见光、融合、激光条纹模式；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4、画面显示模式：至少支持基本消防、流畅、白热、黑热、火灾、搜救、热检测、冷检测、检查颜色凸显；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5、测温规则：支持最高温、最低温、中心点测温；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6、录像与拍照：支持热成像、可见光、融合模式下的录像与拍照；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7、传感器类型：非制冷型红外探测器；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8、探测器分辨率：≥ 256 × 193；</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9、响应波段：7.5 ~ 14 μm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10、噪声等效温差 (NETD)：≤ 0.03°C (30 mK) @ 25°C；</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11、视场角 (FOV)：≥40.0° × 29.8°；</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12、聚焦方式：免调焦；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13、测温范围：-20°C ~ 150°C，0°C ~ 1000°C（可切换）；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14、图像增强与变倍：支持1×、2×、4×数字变倍，且变倍后图像分辨率自动提升；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15、设备应具备激光条纹灯功能，支持火场烟气流动观测（兼容激光条纹功能），并可在高温、高湿等恶劣环境下稳定运行。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★16、激光类型须为可见光激光，光束呈“一字”型，激光条纹直径 ≤ 6 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★17、打开激光条纹灯后，光束须能够穿透浓烟，通过激光条纹观察烟气流速的急剧变化与紊乱，激光条纹在浓烟中具有可视化投射功能。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18、整机重量：≤420g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19、整机尺寸：≤53mm × 145mm × 80mm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20、外壳防护等级须不低于IP67</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21、硬件接口与传输：USB Type-C，支持 Wi-Fi 无线数据传输。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22、电池续航：锂离子电池，连续工作时间 ≥ 5 小时，支持充电。</w:t>
            </w:r>
            <w:r/>
          </w:p>
        </w:tc>
      </w:tr>
      <w:tr>
        <w:trPr>
          <w:trHeight w:val="186"/>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激光测距仪</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spacing w:line="240" w:lineRule="auto"/>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5421"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1.放大倍率：≥8倍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2.物镜直径：≥26mm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3.产品量程：≥ 0-1000 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★4.测距误差：≤300m以内精度±0.2m，300m以上±1m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5.测量角度范围：≥±90°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7.测高精度：≤0.2m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8.防护等级：≥IP55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9.测距显示：内置和外置LCD双屏数据显示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10.工作温度：≥-20 ℃ ~+50℃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11.高度范围：1000m距离内能显示测量高度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12.对焦方式：目镜调焦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13.产品尺寸：≤123*38*64mm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14.产品重量：≤230g</w:t>
            </w:r>
            <w:r/>
          </w:p>
        </w:tc>
      </w:tr>
      <w:tr>
        <w:trPr>
          <w:trHeight w:val="3842"/>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漏电探测仪</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5421"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1、水陆两用漏电探测仪，用于火灾现场、地震、台风、洪涝等自然灾害或建筑物倒塌后确定是否漏电及泄漏电源具体位置,可声光报警,避免触电事故的发生。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2、探测仪可自动探测220V/50Hz、120V/60Hz交流电源的漏电状态，具备声光报警功能，当设备越接近漏电状态的电源时，声光报警装置光闪烁及发声频次越高。</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★3、配备OLED液晶显示屏，屏幕尺寸≥1.3英寸，可显示电量、漏电强弱信息等。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4、具备运动静止状态检测功能，能够检测所处状态为运动状态或静止状态，并在显示屏上显示。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5、具备SOS一键紧急呼叫求救功能和照明功能，可通过仪器正面的物理按钮实现紧急呼叫。</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6、探测仪内置可充电电池，续航时间≥8h，可在显示屏显示电量情况，当电量过低时，可在显示屏显示“电量低”提示信息。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7、防护等级≥IP67，抗跌落高度：≥1m。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8、工作温度：-40℃至60℃。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9、设备须通过振动（正弦）试验：频率范围5～55Hz，驱动振幅≤0.15mm，扫描速率≤1otc/min。</w:t>
            </w:r>
            <w:r/>
          </w:p>
        </w:tc>
      </w:tr>
      <w:tr>
        <w:trPr>
          <w:trHeight w:val="3522"/>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电子气象仪</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5421"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手持式电子气象仪可测量风向、风速、温度、湿度、气压等气象数据。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1、≥1.8英寸多功能背光LCD大屏幕显示，背光环境下可查看探测数据，读数方便。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2、超强的聚碳酸酯镜片和可充电电池供电，设计小巧轻便，可携带在口袋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3、可测定最大风速和平均风速，并支持一键切换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4、具备最小值，最大值，平均傎显示功能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5、具备数据存储功能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6、具备震动报警和闪屏报警功能，具备超温报警功能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7、全中文操作系统，使用方便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8、具备电子罗盘功能，具备方位角度和方向测定功能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9、内置可充电电池，支持Type-C接口充电，具有自动关机功能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10、风速测量范围：0-45m/s</w:t>
            </w:r>
            <w:r/>
          </w:p>
        </w:tc>
      </w:tr>
      <w:tr>
        <w:trPr>
          <w:trHeight w:val="3203"/>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有毒气体探测仪</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5421"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1、能够可靠地监测多达四种气体，重量轻，体积小，便于单手操作使用。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2、尺寸：（长x宽x深）≤115x80x35 毫米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3、重量：≤230 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4、外壳材质：聚碳酸酯与橡胶二次成型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5、屏幕：高对比度液晶显示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6、检测气体种类：可燃气LEL/O2/H2S/CO/H2S-LC（低浓度）/CO</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7、传感器要求：可燃气体：0-100%LEL（0-5%VolCH4）/O2：0-30%Vol/CO：0-1999ppm/H2S：0-200ppm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8、电池：充电式锂电池，连续工作时间≥20 小时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9、报警功能：具有跌倒报警，立即报警，视觉报警，声音报警，震动报警功能。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10、防水防尘等级：IP68</w:t>
            </w:r>
            <w:r/>
          </w:p>
        </w:tc>
      </w:tr>
      <w:tr>
        <w:trPr>
          <w:trHeight w:val="5758"/>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六米拉梯</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5421"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1.整体要求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1.1符合XF137-2007《消防梯》标准要求。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2.技术性能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2.1工作长度6±0.2m。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2.2最小梯宽300±3mm。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2.3梯蹬间距280±2mm。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2.4★整梯质量≤12kg。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2.5水平弯曲残余变形比值≤0.04%。</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2.6梯蹬弯曲残余变形比值≤0.03 %。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2.7梯蹬剪切强度：梯蹬与侧板的连接处和梯蹬本身无任何断裂迹象。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2.8翘曲试验时，任一梯脚均不离地。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2.9梯节扭转角为：α顺：≤8°、α逆：≤8°。</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2.10滑移试验进，各梯脚在整个试验表面无位移现象。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2.11单撑脚载荷试验后，撑脚及联接件不出现松动、损伤及变形。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2.12侧板悬臂弯曲最大变形值：内弯曲≤0.8mm、外弯曲≤1mm。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2.13侧摇摆试验残余变形比值≤0.04%。</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2.14抗冲击性能试验时撑脚支撑功能始终正常，试验后撑脚及梯蹬无明显变形或损坏。</w:t>
            </w:r>
            <w:r/>
          </w:p>
        </w:tc>
      </w:tr>
      <w:tr>
        <w:trPr>
          <w:trHeight w:val="1238"/>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医疗箱 </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5421"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1、尺寸：≥39*29*12cm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2、材质：采用铝合金边框，铝塑板板材，金属包角，具有防震、抗摔、耐腐蚀、阻燃等特性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3、内部设计科学分区，以满足急救用品的存放，外箱有蓄光标。</w:t>
            </w:r>
            <w:r/>
          </w:p>
        </w:tc>
      </w:tr>
      <w:tr>
        <w:trPr>
          <w:trHeight w:val="4800"/>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班用安全绳</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根</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5421"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1.整体要求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符合国家XF494-2023《消防用防坠落装备》标准要求，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2.1安全绳整体粗细均匀、结构一致，表面无任何机械损伤，并且绳两端妥善收尾。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2.2整绳由绳芯、绳皮连续组合而成，绳皮材料和绳芯材料为锦纶66高强纤维，具备强度高、延伸率小、抗冲击性能好等特点，绳芯结构为28股承重绳芯并排排列，外罩48股绳皮。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2.3使用同种材料的细绳扎缝 50mm，在扎缝处热封，扎缝处包以裹紧的金属内环或塑料套管。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3.技术性能：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3.1直径：16±0.5mm，长度50米。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★3.2破断强度：≥49KN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3.3延伸率：当承重达到破断强度的10%时，安全绳的延伸率≤5.5%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3.4耐高温性能：经（204±5）℃ 耐高温性能试验后，未出现熔融、焦化现象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4.其他</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4.1在绳尾处采用热封方式标注永久性标签内容，包含产品型号、商标、生产日期及批次等</w:t>
            </w:r>
            <w:r/>
          </w:p>
        </w:tc>
      </w:tr>
      <w:tr>
        <w:trPr>
          <w:trHeight w:val="2548"/>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移车器</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5421"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Style w:val="1133"/>
                <w:rFonts w:hint="eastAsia" w:ascii="宋体" w:hAnsi="宋体" w:eastAsia="宋体" w:cs="宋体"/>
                <w:color w:val="auto"/>
                <w:sz w:val="21"/>
                <w:szCs w:val="21"/>
                <w:highlight w:val="none"/>
                <w:lang w:val="en-US" w:eastAsia="zh-CN" w:bidi="ar"/>
              </w:rPr>
              <w:t xml:space="preserve">1、通用于各类轿车、越野车及微型轻型客车一器全能；</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2、齿轮驱动举升；省力便捷。</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3、高强度结构钢保证受力不变形，万向脚转动灵活高承载；</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4、配有缓降阻尼装置；</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5、单个规格尺寸（长*宽*高）：≤550mm*610mm*240mm，单个净重：≤20公斤</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6、每套数量：</w:t>
            </w:r>
            <w:r>
              <w:rPr>
                <w:rStyle w:val="1133"/>
                <w:rFonts w:hint="eastAsia" w:ascii="宋体" w:hAnsi="宋体" w:cs="宋体"/>
                <w:color w:val="auto"/>
                <w:sz w:val="21"/>
                <w:szCs w:val="21"/>
                <w:highlight w:val="none"/>
                <w:lang w:val="en-US" w:eastAsia="zh-CN" w:bidi="ar"/>
              </w:rPr>
              <w:t xml:space="preserve">不少于</w:t>
            </w:r>
            <w:r>
              <w:rPr>
                <w:rStyle w:val="1133"/>
                <w:rFonts w:hint="eastAsia" w:ascii="宋体" w:hAnsi="宋体" w:eastAsia="宋体" w:cs="宋体"/>
                <w:color w:val="auto"/>
                <w:sz w:val="21"/>
                <w:szCs w:val="21"/>
                <w:highlight w:val="none"/>
                <w:lang w:val="en-US" w:eastAsia="zh-CN" w:bidi="ar"/>
              </w:rPr>
              <w:t xml:space="preserve">4个， 单个承重：≥1000公斤/个（四个最大承重≥4000公斤）。</w:t>
            </w:r>
            <w:r/>
          </w:p>
        </w:tc>
      </w:tr>
      <w:tr>
        <w:trPr>
          <w:trHeight w:val="4991"/>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高空救援包</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5421"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1、安全钩不少于5只：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1.1符合XF 494-2023《消防用防坠落装备》标准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1.2轻型铝合⾦3段O型⾃动主锁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1.3尺⼨：111×62mm（±1mm）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1.4★纵向最⼩破断强度：≥25kN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1.5横向最⼩破断强度：≥8kN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1.6开⼝拉⼒：≥7kN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1.7开⼝尺⼨:19±1mm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1.8重量：79±5g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2、单滑轮2只：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2.1符合XF 494-2023《消防用防坠落装备》标准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2.2材质：铝合⾦、不锈钢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2.3尺⼨：110×81×26mm（±1mm）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2.4滑轮中心直径尺⼨：38±0.5mm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2.5 适⽤绳径：4~13mm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2.6 ★极限负荷：≥36kN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2.7工作负荷：≥22kN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2.8滑轮效率：≥95%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2.9重量：191±5g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2.10活动侧板可左右360度旋转。体积⼩巧、轻量、便携。平底可辅助使⽤普鲁式抓结。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3、双滑轮不少于2只：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3.1符合XF 494-2023《消防用防坠落装备》标准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3.2材质：铝合⾦、不锈钢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3.3尺⼨：164×63×52mm（±1mm）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3.4滑轮中心直径：38±0.5mm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3.5★极限负荷：≥40kN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3.6工作负荷：≥22kN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3.7滑轮效率：≥95%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3.8适⽤绳径：4~13mm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3.9 重量：436±5g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3.10双⾯活动侧板，具有侧板防误开设计，滑轮顶端⾃带万向结吊环，可随⼒的⽅向变化⾃⾏调整滑轮受⼒⻆度，吊环可入3把主锁，有内置吊环防脱销，底部有中⼼挂点，平底可辅助使⽤普鲁式抓结,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4、止坠器不少于2只：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4.1符合XF 494-2023《消防用防坠落装备》标准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4.2工作负荷≥11kN；适用绳径：10-13mm；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4.3止坠器可在绳索上自动随使用者移动，无需手动干预。遇坠落或突然加速时自动制动，锁定功能可固定于绳上以减小坠落距离。支持在绳索任意位置装拆，连接臂能防止设备在通过中间点时脱落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5、8字环不少于2只：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5.1符合XF 494-2023《消防用防坠落装备》标准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5.2 材质：铝合金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5.3规格：120×120×12mm（±1mm）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5.4最⼩破断强度：≥40kN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5.5 适用绳径： 单绳 7~13mm，双绳7~11mm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5.6重量：130±10g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6、全身吊带不少于4个：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符合XF 494-2023《消防用防坠落装备》标准，5点式全⾝式安全吊带， 装有胸式上升器，可拆分成半身使用。腰护上有5个及以上装备环，护腰带两侧⾸个为硬质定型材质。腹部铝合⾦挂点两侧有坐板连接挂⽿；可链接⾼空作业坐板。双肩前部有安全绳挂钩安置挂点，顶部有坑道临时救援提升挂点。可调节的宽厚腿环，配置铝合⾦调节双重保险锁型快扣。配有喇叭型全⾝安全储存管理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7、扁带不少于3根：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7.1 材质：聚酯（⾼强涤纶）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7.2宽度：18±1mm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7.3⻓度：120cm±2cm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7.4最⼩破断强度：≥22kN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7.5成型锚点扁带，⽤于连接于建筑/⾃然结构的锚点（挂点），可缠绕在⽀撑结构上作为锚点使⽤，结实、耐磨，为坠落防护的个体防护装备。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8、高空救援包1个：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8.1材质：PVC夹⽹布、织物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8.2尺⼨：≥55×31×24cm；平铺尺寸：100*56cm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8.3容量：≥36L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8.4包⾯设有ID卡位及不少于12个实⽤挂点。</w:t>
            </w:r>
            <w:r/>
          </w:p>
        </w:tc>
      </w:tr>
      <w:tr>
        <w:trPr>
          <w:trHeight w:val="2564"/>
        </w:trPr>
        <w:tc>
          <w:tcPr>
            <w:shd w:val="clear" w:color="auto" w:fill="auto"/>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keepLines w:val="0"/>
              <w:keepNext w:val="0"/>
              <w:spacing w:line="240" w:lineRule="auto"/>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安全钩</w:t>
            </w:r>
            <w:r/>
          </w:p>
        </w:tc>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5421"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1、XF 494-2023《消防用防坠落装备》标准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2、结构：O形自动锁；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3、材质：铝合金或同等材质；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4、开口距离：21±1mm；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5、★破断强度：长轴方向≥45kN，短轴方向≥25kN，开口状态时长轴方向≥15kN；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6、尺寸：≤115*65*20mm；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7、重量：≤135；</w:t>
            </w:r>
            <w:r/>
          </w:p>
        </w:tc>
      </w:tr>
      <w:tr>
        <w:trPr>
          <w:trHeight w:val="1565"/>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keepLines w:val="0"/>
              <w:keepNext w:val="0"/>
              <w:spacing w:line="240" w:lineRule="auto"/>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47</w:t>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消防火钩</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根</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5421"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1、用于火灾救援现场，掘开燃烧物、障碍物、覆盖物等；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2、手柄材质为PVC+PTR+玻璃纤维,具有阻燃绝缘功能，承受拉力≥4000N；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3、钩头材质为碳钢，锻打，硬度35-46HRC；</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4、整体长度≥3M；</w:t>
            </w:r>
            <w:r/>
          </w:p>
        </w:tc>
      </w:tr>
      <w:tr>
        <w:trPr>
          <w:trHeight w:val="1279"/>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keepLines w:val="0"/>
              <w:keepNext w:val="0"/>
              <w:spacing w:line="240" w:lineRule="auto"/>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警戒带</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5421"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1、盘式警戒带，加厚布料，颜色分明，印有警戒线等字样，醒目警示。宽度5cm,长度100米。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2、外壳采用新材料坚固耐摔。手提式把柄，反复使用，伸缩自如。</w:t>
            </w:r>
            <w:r/>
          </w:p>
        </w:tc>
      </w:tr>
      <w:tr>
        <w:trPr>
          <w:trHeight w:val="4481"/>
        </w:trPr>
        <w:tc>
          <w:tcPr>
            <w:shd w:val="clear" w:color="auto" w:fill="auto"/>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keepLines w:val="0"/>
              <w:keepNext w:val="0"/>
              <w:spacing w:line="240" w:lineRule="auto"/>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电动排烟机</w:t>
            </w:r>
            <w:r/>
          </w:p>
        </w:tc>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21"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1、符合 GB27901-2011《移动式消防排烟机》标准的要求。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2、航空铝合金框架，带全地形脚轮,拉杆，单肩背带。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3、风机采用无刷直流电机系统，可以交直流两种形式供电。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4、电机功率≥700W，转速≥2800r/min。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5、风量≥10000立方米/小时。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6、排烟机能不小于180°水平放倒使用，用于深井或地下狭窄空间排烟救援。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7、自带液晶显示屏，显示电池电量。自带集成式LED照明灯便于夜间使用。具备APP蓝牙链接风机问题诊断功能。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8、风机需自带内置充电器，且可在不停机状态下更换单块电池。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9、★风机在运行过程中受外力冲击倾斜超过45°，机器会自动启动停机保护功能。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10、全速运行时间：≥60分钟。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12、★重量（含电池）≤29kg。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13、整体尺寸≤56*53*32cm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14、电池：电压≥40V,容量≥10AH，配备备用电池1组。</w:t>
            </w:r>
            <w:r/>
          </w:p>
        </w:tc>
      </w:tr>
      <w:tr>
        <w:trPr>
          <w:trHeight w:val="6716"/>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tcPr>
          <w:p>
            <w:pPr>
              <w:jc w:val="center"/>
              <w:keepLines w:val="0"/>
              <w:keepNext w:val="0"/>
              <w:spacing w:line="240" w:lineRule="auto"/>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15米金属拉梯</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架</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21"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1.整体要求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1.1符合XF137-2007《消防梯》标准要求。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2.1工作长度15±0.3m，合并高度6±0.2m。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2.2最小梯宽350±4mm。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2.3梯蹬间距340±2mm。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2.4整梯质量≤57kg。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2.5水平弯曲残余变形比值≤0.2%。</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2.6梯蹬弯曲残余变形比值≤0.15%。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2.7梯蹬剪切强度：梯蹬与侧板的连接处和梯蹬本身无任何断裂迹象。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2.8翘曲试验时，任一梯脚均不离地。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2.9梯节扭转角为：α顺：≤10°、α逆：≤10°。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2.10滑移试验进，各梯脚在整个试验表面无位移现象。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2.11单撑脚载荷试验后，撑脚及联接件不出现松动、损伤及变形。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2.12侧板悬臂弯曲最大变形值：内弯曲≤0.5mm、外弯曲≤0.5mm。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2.13侧摇摆试验残余变形比值≤0.05%。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2.14三节拉梯的两侧撑脚能同时可靠地将第二、第三梯节支撑在工作高度及以下的任何一级梯蹬上。在撑脚安全性试验时，不出现向梯蹬外侧面移动的现象。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2.15抗冲击性能试验时撑脚支撑功能始终正常，试验后撑脚及梯蹬无明显变形或损坏。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3、整体材质：铝合金</w:t>
            </w:r>
            <w:r/>
          </w:p>
        </w:tc>
      </w:tr>
      <w:tr>
        <w:trPr>
          <w:trHeight w:val="644"/>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50管牙雄接口</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421"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符合GB12514《消防接口》相关标准，接口具有锻造工艺及氧化处理。</w:t>
            </w:r>
            <w:r/>
          </w:p>
        </w:tc>
      </w:tr>
      <w:tr>
        <w:trPr>
          <w:trHeight w:val="644"/>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50管牙雌接口</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421"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符合GB12514《消防接口》相关标准，接口具有锻造工艺及氧化处理。</w:t>
            </w:r>
            <w:r/>
          </w:p>
        </w:tc>
      </w:tr>
      <w:tr>
        <w:trPr>
          <w:trHeight w:val="471"/>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53</w:t>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单兵搜索引导绳</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421"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Style w:val="1133"/>
                <w:rFonts w:hint="eastAsia" w:ascii="宋体" w:hAnsi="宋体" w:eastAsia="宋体" w:cs="宋体"/>
                <w:color w:val="auto"/>
                <w:sz w:val="21"/>
                <w:szCs w:val="21"/>
                <w:highlight w:val="none"/>
                <w:lang w:val="en-US" w:eastAsia="zh-CN" w:bidi="ar"/>
              </w:rPr>
              <w:t xml:space="preserve">1、符合XF494-2023《消防用防坠落装备》标准；</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2、具备耐高温芳纶绳体搭配全自动弹性伸缩回收结构，两段式分级伸缩止动设计，可适配消防标准腰带快速挂载，解放双手作业；同时配备限位卡槽、连接固定环等实战化结构，可独立更换绳体，兼容配套多类搜救装备，轻量化高强度设计。</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3、绳索采两段式延长伸缩,第一段长度</w:t>
            </w:r>
            <w:r>
              <w:rPr>
                <w:rStyle w:val="1125"/>
                <w:rFonts w:hint="eastAsia" w:ascii="宋体" w:hAnsi="宋体" w:eastAsia="宋体" w:cs="宋体"/>
                <w:color w:val="auto"/>
                <w:sz w:val="21"/>
                <w:szCs w:val="21"/>
                <w:highlight w:val="none"/>
                <w:lang w:val="en-US" w:eastAsia="zh-CN" w:bidi="ar"/>
              </w:rPr>
              <w:t xml:space="preserve">≥</w:t>
            </w:r>
            <w:r>
              <w:rPr>
                <w:rStyle w:val="1133"/>
                <w:rFonts w:hint="eastAsia" w:ascii="宋体" w:hAnsi="宋体" w:eastAsia="宋体" w:cs="宋体"/>
                <w:color w:val="auto"/>
                <w:sz w:val="21"/>
                <w:szCs w:val="21"/>
                <w:highlight w:val="none"/>
                <w:lang w:val="en-US" w:eastAsia="zh-CN" w:bidi="ar"/>
              </w:rPr>
              <w:t xml:space="preserve">1.2m,总长度</w:t>
            </w:r>
            <w:r>
              <w:rPr>
                <w:rStyle w:val="1125"/>
                <w:rFonts w:hint="eastAsia" w:ascii="宋体" w:hAnsi="宋体" w:eastAsia="宋体" w:cs="宋体"/>
                <w:color w:val="auto"/>
                <w:sz w:val="21"/>
                <w:szCs w:val="21"/>
                <w:highlight w:val="none"/>
                <w:lang w:val="en-US" w:eastAsia="zh-CN" w:bidi="ar"/>
              </w:rPr>
              <w:t xml:space="preserve">≥</w:t>
            </w:r>
            <w:r>
              <w:rPr>
                <w:rStyle w:val="1133"/>
                <w:rFonts w:hint="eastAsia" w:ascii="宋体" w:hAnsi="宋体" w:eastAsia="宋体" w:cs="宋体"/>
                <w:color w:val="auto"/>
                <w:sz w:val="21"/>
                <w:szCs w:val="21"/>
                <w:highlight w:val="none"/>
                <w:lang w:val="en-US" w:eastAsia="zh-CN" w:bidi="ar"/>
              </w:rPr>
              <w:t xml:space="preserve">6m，绳索末端配有安全钩。</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4、模块化设计：绳体可独立选配、单独更换</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5、耐高温性能：耐受温度≥200℃</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6、★破断强度：≥3.5kN</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7、整机重量：</w:t>
            </w:r>
            <w:r>
              <w:rPr>
                <w:rStyle w:val="1125"/>
                <w:rFonts w:hint="eastAsia" w:ascii="宋体" w:hAnsi="宋体" w:eastAsia="宋体" w:cs="宋体"/>
                <w:color w:val="auto"/>
                <w:sz w:val="21"/>
                <w:szCs w:val="21"/>
                <w:highlight w:val="none"/>
                <w:lang w:val="en-US" w:eastAsia="zh-CN" w:bidi="ar"/>
              </w:rPr>
              <w:t xml:space="preserve">≤</w:t>
            </w:r>
            <w:r>
              <w:rPr>
                <w:rStyle w:val="1133"/>
                <w:rFonts w:hint="eastAsia" w:ascii="宋体" w:hAnsi="宋体" w:eastAsia="宋体" w:cs="宋体"/>
                <w:color w:val="auto"/>
                <w:sz w:val="21"/>
                <w:szCs w:val="21"/>
                <w:highlight w:val="none"/>
                <w:lang w:val="en-US" w:eastAsia="zh-CN" w:bidi="ar"/>
              </w:rPr>
              <w:t xml:space="preserve">520g</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8、限位固定结构：配备开口槽+长条状限位卡槽，可实现绳体快速卡接固定与收纳</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9、联动连接结构：壳体一侧设置标准固定连接环，用于与后方搜索引导绳对接连接</w:t>
            </w:r>
            <w:r>
              <w:rPr>
                <w:rStyle w:val="1133"/>
                <w:rFonts w:hint="eastAsia" w:ascii="宋体" w:hAnsi="宋体" w:eastAsia="宋体" w:cs="宋体"/>
                <w:color w:val="auto"/>
                <w:sz w:val="21"/>
                <w:szCs w:val="21"/>
                <w:highlight w:val="none"/>
                <w:lang w:val="en-US" w:eastAsia="zh-CN" w:bidi="ar"/>
              </w:rPr>
              <w:br/>
            </w:r>
            <w:r>
              <w:rPr>
                <w:rStyle w:val="1133"/>
                <w:rFonts w:hint="eastAsia" w:ascii="宋体" w:hAnsi="宋体" w:eastAsia="宋体" w:cs="宋体"/>
                <w:color w:val="auto"/>
                <w:sz w:val="21"/>
                <w:szCs w:val="21"/>
                <w:highlight w:val="none"/>
                <w:lang w:val="en-US" w:eastAsia="zh-CN" w:bidi="ar"/>
              </w:rPr>
              <w:t xml:space="preserve">10、挂载适配结构：壳体底座适配标准消防腰带，可快速穿戴固定</w:t>
            </w:r>
            <w:r/>
          </w:p>
        </w:tc>
      </w:tr>
      <w:tr>
        <w:trPr>
          <w:trHeight w:val="471"/>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tcPr>
          <w:p>
            <w:pPr>
              <w:jc w:val="center"/>
              <w:keepLines w:val="0"/>
              <w:keepNext w:val="0"/>
              <w:spacing w:line="240" w:lineRule="auto"/>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54</w:t>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面罩无线扩音通信装置</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421" w:type="dxa"/>
            <w:vAlign w:val="center"/>
            <w:textDirection w:val="lrTb"/>
            <w:noWrap w:val="false"/>
          </w:tcPr>
          <w:p>
            <w:pPr>
              <w:jc w:val="left"/>
              <w:keepLines w:val="0"/>
              <w:keepNext w:val="0"/>
              <w:spacing w:line="240" w:lineRule="auto"/>
              <w:widowControl/>
              <w:rPr>
                <w:rStyle w:val="1133"/>
                <w:rFonts w:hint="eastAsia" w:ascii="宋体" w:hAnsi="宋体" w:eastAsia="宋体" w:cs="宋体"/>
                <w:color w:val="auto"/>
                <w:sz w:val="21"/>
                <w:szCs w:val="21"/>
                <w:highlight w:val="none"/>
                <w:lang w:val="en-US" w:eastAsia="zh-CN" w:bidi="ar"/>
              </w:rPr>
              <w:suppressLineNumbers w:val="0"/>
            </w:pPr>
            <w:r>
              <w:rPr>
                <w:rStyle w:val="1133"/>
                <w:rFonts w:hint="eastAsia" w:ascii="宋体" w:hAnsi="宋体" w:eastAsia="宋体" w:cs="宋体"/>
                <w:color w:val="auto"/>
                <w:sz w:val="21"/>
                <w:szCs w:val="21"/>
                <w:highlight w:val="none"/>
                <w:lang w:val="en-US" w:eastAsia="zh-CN" w:bidi="ar"/>
              </w:rPr>
              <w:t xml:space="preserve">1、整套面罩无线扩音通装置主要由面罩无线麦克风和无线扩音装置组成。</w:t>
            </w:r>
            <w:r/>
          </w:p>
          <w:p>
            <w:pPr>
              <w:jc w:val="left"/>
              <w:keepLines w:val="0"/>
              <w:keepNext w:val="0"/>
              <w:spacing w:line="240" w:lineRule="auto"/>
              <w:widowControl/>
              <w:rPr>
                <w:rStyle w:val="1133"/>
                <w:rFonts w:hint="eastAsia" w:ascii="宋体" w:hAnsi="宋体" w:eastAsia="宋体" w:cs="宋体"/>
                <w:color w:val="auto"/>
                <w:sz w:val="21"/>
                <w:szCs w:val="21"/>
                <w:highlight w:val="none"/>
                <w:lang w:val="en-US" w:eastAsia="zh-CN" w:bidi="ar"/>
              </w:rPr>
              <w:suppressLineNumbers w:val="0"/>
            </w:pPr>
            <w:r>
              <w:rPr>
                <w:rStyle w:val="1133"/>
                <w:rFonts w:hint="eastAsia" w:ascii="宋体" w:hAnsi="宋体" w:eastAsia="宋体" w:cs="宋体"/>
                <w:color w:val="auto"/>
                <w:sz w:val="21"/>
                <w:szCs w:val="21"/>
                <w:highlight w:val="none"/>
                <w:lang w:val="en-US" w:eastAsia="zh-CN" w:bidi="ar"/>
              </w:rPr>
              <w:t xml:space="preserve">2、面罩无线麦克风：</w:t>
            </w:r>
            <w:r/>
          </w:p>
          <w:p>
            <w:pPr>
              <w:jc w:val="left"/>
              <w:keepLines w:val="0"/>
              <w:keepNext w:val="0"/>
              <w:spacing w:line="240" w:lineRule="auto"/>
              <w:widowControl/>
              <w:rPr>
                <w:rStyle w:val="1133"/>
                <w:rFonts w:hint="eastAsia" w:ascii="宋体" w:hAnsi="宋体" w:eastAsia="宋体" w:cs="宋体"/>
                <w:color w:val="auto"/>
                <w:sz w:val="21"/>
                <w:szCs w:val="21"/>
                <w:highlight w:val="none"/>
                <w:lang w:val="en-US" w:eastAsia="zh-CN" w:bidi="ar"/>
              </w:rPr>
              <w:suppressLineNumbers w:val="0"/>
            </w:pPr>
            <w:r>
              <w:rPr>
                <w:rStyle w:val="1133"/>
                <w:rFonts w:hint="eastAsia" w:ascii="宋体" w:hAnsi="宋体" w:eastAsia="宋体" w:cs="宋体"/>
                <w:color w:val="auto"/>
                <w:sz w:val="21"/>
                <w:szCs w:val="21"/>
                <w:highlight w:val="none"/>
                <w:lang w:val="en-US" w:eastAsia="zh-CN" w:bidi="ar"/>
              </w:rPr>
              <w:t xml:space="preserve">2.1采用磁吸固定式，无需工具辅助快速安装在面罩内部，方便快捷；</w:t>
            </w:r>
            <w:r/>
          </w:p>
          <w:p>
            <w:pPr>
              <w:jc w:val="left"/>
              <w:keepLines w:val="0"/>
              <w:keepNext w:val="0"/>
              <w:spacing w:line="240" w:lineRule="auto"/>
              <w:widowControl/>
              <w:rPr>
                <w:rStyle w:val="1133"/>
                <w:rFonts w:hint="eastAsia" w:ascii="宋体" w:hAnsi="宋体" w:eastAsia="宋体" w:cs="宋体"/>
                <w:color w:val="auto"/>
                <w:sz w:val="21"/>
                <w:szCs w:val="21"/>
                <w:highlight w:val="none"/>
                <w:lang w:val="en-US" w:eastAsia="zh-CN" w:bidi="ar"/>
              </w:rPr>
              <w:suppressLineNumbers w:val="0"/>
            </w:pPr>
            <w:r>
              <w:rPr>
                <w:rStyle w:val="1133"/>
                <w:rFonts w:hint="eastAsia" w:ascii="宋体" w:hAnsi="宋体" w:eastAsia="宋体" w:cs="宋体"/>
                <w:color w:val="auto"/>
                <w:sz w:val="21"/>
                <w:szCs w:val="21"/>
                <w:highlight w:val="none"/>
                <w:lang w:val="en-US" w:eastAsia="zh-CN" w:bidi="ar"/>
              </w:rPr>
              <w:t xml:space="preserve">2.2无线连接方式，告别线缆束缚；</w:t>
            </w:r>
            <w:r/>
          </w:p>
          <w:p>
            <w:pPr>
              <w:jc w:val="left"/>
              <w:keepLines w:val="0"/>
              <w:keepNext w:val="0"/>
              <w:spacing w:line="240" w:lineRule="auto"/>
              <w:widowControl/>
              <w:rPr>
                <w:rStyle w:val="1133"/>
                <w:rFonts w:hint="eastAsia" w:ascii="宋体" w:hAnsi="宋体" w:eastAsia="宋体" w:cs="宋体"/>
                <w:color w:val="auto"/>
                <w:sz w:val="21"/>
                <w:szCs w:val="21"/>
                <w:highlight w:val="none"/>
                <w:lang w:val="en-US" w:eastAsia="zh-CN" w:bidi="ar"/>
              </w:rPr>
              <w:suppressLineNumbers w:val="0"/>
            </w:pPr>
            <w:r>
              <w:rPr>
                <w:rStyle w:val="1133"/>
                <w:rFonts w:hint="eastAsia" w:ascii="宋体" w:hAnsi="宋体" w:eastAsia="宋体" w:cs="宋体"/>
                <w:color w:val="auto"/>
                <w:sz w:val="21"/>
                <w:szCs w:val="21"/>
                <w:highlight w:val="none"/>
                <w:lang w:val="en-US" w:eastAsia="zh-CN" w:bidi="ar"/>
              </w:rPr>
              <w:t xml:space="preserve">2.3重量≤25g，磁吸式充电更便捷；</w:t>
            </w:r>
            <w:r/>
          </w:p>
          <w:p>
            <w:pPr>
              <w:jc w:val="left"/>
              <w:keepLines w:val="0"/>
              <w:keepNext w:val="0"/>
              <w:spacing w:line="240" w:lineRule="auto"/>
              <w:widowControl/>
              <w:rPr>
                <w:rStyle w:val="1133"/>
                <w:rFonts w:hint="eastAsia" w:ascii="宋体" w:hAnsi="宋体" w:eastAsia="宋体" w:cs="宋体"/>
                <w:color w:val="auto"/>
                <w:sz w:val="21"/>
                <w:szCs w:val="21"/>
                <w:highlight w:val="none"/>
                <w:lang w:val="en-US" w:eastAsia="zh-CN" w:bidi="ar"/>
              </w:rPr>
              <w:suppressLineNumbers w:val="0"/>
            </w:pPr>
            <w:r>
              <w:rPr>
                <w:rStyle w:val="1133"/>
                <w:rFonts w:hint="eastAsia" w:ascii="宋体" w:hAnsi="宋体" w:eastAsia="宋体" w:cs="宋体"/>
                <w:color w:val="auto"/>
                <w:sz w:val="21"/>
                <w:szCs w:val="21"/>
                <w:highlight w:val="none"/>
                <w:lang w:val="en-US" w:eastAsia="zh-CN" w:bidi="ar"/>
              </w:rPr>
              <w:t xml:space="preserve">★2.4防爆等级：≥Ex ia ⅡC T4 Ga；</w:t>
            </w:r>
            <w:r/>
          </w:p>
          <w:p>
            <w:pPr>
              <w:jc w:val="left"/>
              <w:keepLines w:val="0"/>
              <w:keepNext w:val="0"/>
              <w:spacing w:line="240" w:lineRule="auto"/>
              <w:widowControl/>
              <w:rPr>
                <w:rStyle w:val="1133"/>
                <w:rFonts w:hint="eastAsia" w:ascii="宋体" w:hAnsi="宋体" w:eastAsia="宋体" w:cs="宋体"/>
                <w:color w:val="auto"/>
                <w:sz w:val="21"/>
                <w:szCs w:val="21"/>
                <w:highlight w:val="none"/>
                <w:lang w:val="en-US" w:eastAsia="zh-CN" w:bidi="ar"/>
              </w:rPr>
              <w:suppressLineNumbers w:val="0"/>
            </w:pPr>
            <w:r>
              <w:rPr>
                <w:rStyle w:val="1133"/>
                <w:rFonts w:hint="eastAsia" w:ascii="宋体" w:hAnsi="宋体" w:eastAsia="宋体" w:cs="宋体"/>
                <w:color w:val="auto"/>
                <w:sz w:val="21"/>
                <w:szCs w:val="21"/>
                <w:highlight w:val="none"/>
                <w:lang w:val="en-US" w:eastAsia="zh-CN" w:bidi="ar"/>
              </w:rPr>
              <w:t xml:space="preserve">3、无线扩音通信装置：</w:t>
            </w:r>
            <w:r/>
          </w:p>
          <w:p>
            <w:pPr>
              <w:jc w:val="left"/>
              <w:keepLines w:val="0"/>
              <w:keepNext w:val="0"/>
              <w:spacing w:line="240" w:lineRule="auto"/>
              <w:widowControl/>
              <w:rPr>
                <w:rStyle w:val="1133"/>
                <w:rFonts w:hint="eastAsia" w:ascii="宋体" w:hAnsi="宋体" w:eastAsia="宋体" w:cs="宋体"/>
                <w:color w:val="auto"/>
                <w:sz w:val="21"/>
                <w:szCs w:val="21"/>
                <w:highlight w:val="none"/>
                <w:lang w:val="en-US" w:eastAsia="zh-CN" w:bidi="ar"/>
              </w:rPr>
              <w:suppressLineNumbers w:val="0"/>
            </w:pPr>
            <w:r>
              <w:rPr>
                <w:rStyle w:val="1133"/>
                <w:rFonts w:hint="eastAsia" w:ascii="宋体" w:hAnsi="宋体" w:eastAsia="宋体" w:cs="宋体"/>
                <w:color w:val="auto"/>
                <w:sz w:val="21"/>
                <w:szCs w:val="21"/>
                <w:highlight w:val="none"/>
                <w:lang w:val="en-US" w:eastAsia="zh-CN" w:bidi="ar"/>
              </w:rPr>
              <w:t xml:space="preserve">3.1肩咪功能：不连接无线麦克风时，可作为对讲机的肩咪使用；</w:t>
            </w:r>
            <w:r/>
          </w:p>
          <w:p>
            <w:pPr>
              <w:jc w:val="left"/>
              <w:keepLines w:val="0"/>
              <w:keepNext w:val="0"/>
              <w:spacing w:line="240" w:lineRule="auto"/>
              <w:widowControl/>
              <w:rPr>
                <w:rStyle w:val="1133"/>
                <w:rFonts w:hint="eastAsia" w:ascii="宋体" w:hAnsi="宋体" w:eastAsia="宋体" w:cs="宋体"/>
                <w:color w:val="auto"/>
                <w:sz w:val="21"/>
                <w:szCs w:val="21"/>
                <w:highlight w:val="none"/>
                <w:lang w:val="en-US" w:eastAsia="zh-CN" w:bidi="ar"/>
              </w:rPr>
              <w:suppressLineNumbers w:val="0"/>
            </w:pPr>
            <w:r>
              <w:rPr>
                <w:rStyle w:val="1133"/>
                <w:rFonts w:hint="eastAsia" w:ascii="宋体" w:hAnsi="宋体" w:eastAsia="宋体" w:cs="宋体"/>
                <w:color w:val="auto"/>
                <w:sz w:val="21"/>
                <w:szCs w:val="21"/>
                <w:highlight w:val="none"/>
                <w:lang w:val="en-US" w:eastAsia="zh-CN" w:bidi="ar"/>
              </w:rPr>
              <w:t xml:space="preserve">3.2无线扩音功能： 连接面罩无线麦克风后呼，可提供扩音功能，音量大小可拨档键调节，确保声音宏亮清晰；</w:t>
            </w:r>
            <w:r/>
          </w:p>
          <w:p>
            <w:pPr>
              <w:jc w:val="left"/>
              <w:keepLines w:val="0"/>
              <w:keepNext w:val="0"/>
              <w:spacing w:line="240" w:lineRule="auto"/>
              <w:widowControl/>
              <w:rPr>
                <w:rStyle w:val="1133"/>
                <w:rFonts w:hint="eastAsia" w:ascii="宋体" w:hAnsi="宋体" w:eastAsia="宋体" w:cs="宋体"/>
                <w:color w:val="auto"/>
                <w:sz w:val="21"/>
                <w:szCs w:val="21"/>
                <w:highlight w:val="none"/>
                <w:lang w:val="en-US" w:eastAsia="zh-CN" w:bidi="ar"/>
              </w:rPr>
              <w:suppressLineNumbers w:val="0"/>
            </w:pPr>
            <w:r>
              <w:rPr>
                <w:rStyle w:val="1133"/>
                <w:rFonts w:hint="eastAsia" w:ascii="宋体" w:hAnsi="宋体" w:eastAsia="宋体" w:cs="宋体"/>
                <w:color w:val="auto"/>
                <w:sz w:val="21"/>
                <w:szCs w:val="21"/>
                <w:highlight w:val="none"/>
                <w:lang w:val="en-US" w:eastAsia="zh-CN" w:bidi="ar"/>
              </w:rPr>
              <w:t xml:space="preserve">3.3数字声控功能：该设备作为PTT按钮使用或肩咪使用时，均可以选择手动和数字声控两种模式激活对讲机，选择声控模式时，只识别人类声带发出的声音、无需按压PTT按钮，直接讲话即可以激活对讲机，完全解放双手；</w:t>
            </w:r>
            <w:r/>
          </w:p>
          <w:p>
            <w:pPr>
              <w:jc w:val="left"/>
              <w:keepLines w:val="0"/>
              <w:keepNext w:val="0"/>
              <w:spacing w:line="240" w:lineRule="auto"/>
              <w:widowControl/>
              <w:rPr>
                <w:rStyle w:val="1133"/>
                <w:rFonts w:hint="eastAsia" w:ascii="宋体" w:hAnsi="宋体" w:eastAsia="宋体" w:cs="宋体"/>
                <w:color w:val="auto"/>
                <w:sz w:val="21"/>
                <w:szCs w:val="21"/>
                <w:highlight w:val="none"/>
                <w:lang w:val="en-US" w:eastAsia="zh-CN" w:bidi="ar"/>
              </w:rPr>
              <w:suppressLineNumbers w:val="0"/>
            </w:pPr>
            <w:r>
              <w:rPr>
                <w:rStyle w:val="1133"/>
                <w:rFonts w:hint="eastAsia" w:ascii="宋体" w:hAnsi="宋体" w:eastAsia="宋体" w:cs="宋体"/>
                <w:color w:val="auto"/>
                <w:sz w:val="21"/>
                <w:szCs w:val="21"/>
                <w:highlight w:val="none"/>
                <w:lang w:val="en-US" w:eastAsia="zh-CN" w:bidi="ar"/>
              </w:rPr>
              <w:t xml:space="preserve">3.4顶部有电量指示灯可提示电量状况，方便查看；</w:t>
            </w:r>
            <w:r/>
          </w:p>
          <w:p>
            <w:pPr>
              <w:jc w:val="left"/>
              <w:keepLines w:val="0"/>
              <w:keepNext w:val="0"/>
              <w:spacing w:line="240" w:lineRule="auto"/>
              <w:widowControl/>
              <w:rPr>
                <w:rStyle w:val="1133"/>
                <w:rFonts w:hint="eastAsia" w:ascii="宋体" w:hAnsi="宋体" w:eastAsia="宋体" w:cs="宋体"/>
                <w:color w:val="auto"/>
                <w:sz w:val="21"/>
                <w:szCs w:val="21"/>
                <w:highlight w:val="none"/>
                <w:lang w:val="en-US" w:eastAsia="zh-CN" w:bidi="ar"/>
              </w:rPr>
              <w:suppressLineNumbers w:val="0"/>
            </w:pPr>
            <w:r>
              <w:rPr>
                <w:rStyle w:val="1133"/>
                <w:rFonts w:hint="eastAsia" w:ascii="宋体" w:hAnsi="宋体" w:eastAsia="宋体" w:cs="宋体"/>
                <w:color w:val="auto"/>
                <w:sz w:val="21"/>
                <w:szCs w:val="21"/>
                <w:highlight w:val="none"/>
                <w:lang w:val="en-US" w:eastAsia="zh-CN" w:bidi="ar"/>
              </w:rPr>
              <w:t xml:space="preserve">3.5配有对讲机连接线缆，按钮单元与线缆之间采用 TYPE-C 接口连接，可适配不同品牌、型号的对讲机；</w:t>
            </w:r>
            <w:r/>
          </w:p>
          <w:p>
            <w:pPr>
              <w:jc w:val="left"/>
              <w:keepLines w:val="0"/>
              <w:keepNext w:val="0"/>
              <w:spacing w:line="240" w:lineRule="auto"/>
              <w:widowControl/>
              <w:rPr>
                <w:rStyle w:val="1133"/>
                <w:rFonts w:hint="eastAsia" w:ascii="宋体" w:hAnsi="宋体" w:eastAsia="宋体" w:cs="宋体"/>
                <w:color w:val="auto"/>
                <w:sz w:val="21"/>
                <w:szCs w:val="21"/>
                <w:highlight w:val="none"/>
                <w:lang w:val="en-US" w:eastAsia="zh-CN" w:bidi="ar"/>
              </w:rPr>
              <w:suppressLineNumbers w:val="0"/>
            </w:pPr>
            <w:r>
              <w:rPr>
                <w:rStyle w:val="1133"/>
                <w:rFonts w:hint="eastAsia" w:ascii="宋体" w:hAnsi="宋体" w:eastAsia="宋体" w:cs="宋体"/>
                <w:color w:val="auto"/>
                <w:sz w:val="21"/>
                <w:szCs w:val="21"/>
                <w:highlight w:val="none"/>
                <w:lang w:val="en-US" w:eastAsia="zh-CN" w:bidi="ar"/>
              </w:rPr>
              <w:t xml:space="preserve">3.6无线扩音通信装置具备360度旋转式背夹，内部卡口处有防滑、防刮伤橡胶垫；背夹设有D型挂环，方便固定，避免使用时脱落；</w:t>
            </w:r>
            <w:r/>
          </w:p>
          <w:p>
            <w:pPr>
              <w:jc w:val="left"/>
              <w:keepLines w:val="0"/>
              <w:keepNext w:val="0"/>
              <w:spacing w:line="240" w:lineRule="auto"/>
              <w:widowControl/>
              <w:rPr>
                <w:rStyle w:val="1133"/>
                <w:rFonts w:hint="eastAsia" w:ascii="宋体" w:hAnsi="宋体" w:eastAsia="宋体" w:cs="宋体"/>
                <w:color w:val="auto"/>
                <w:sz w:val="21"/>
                <w:szCs w:val="21"/>
                <w:highlight w:val="none"/>
                <w:lang w:val="en-US" w:eastAsia="zh-CN" w:bidi="ar"/>
              </w:rPr>
              <w:suppressLineNumbers w:val="0"/>
            </w:pPr>
            <w:r>
              <w:rPr>
                <w:rStyle w:val="1133"/>
                <w:rFonts w:hint="eastAsia" w:ascii="宋体" w:hAnsi="宋体" w:eastAsia="宋体" w:cs="宋体"/>
                <w:color w:val="auto"/>
                <w:sz w:val="21"/>
                <w:szCs w:val="21"/>
                <w:highlight w:val="none"/>
                <w:lang w:val="en-US" w:eastAsia="zh-CN" w:bidi="ar"/>
              </w:rPr>
              <w:t xml:space="preserve">3.7预留7.1mm专用音频接口，可适配其他耳机使用，支持快速盲插；</w:t>
            </w:r>
            <w:r/>
          </w:p>
          <w:p>
            <w:pPr>
              <w:jc w:val="left"/>
              <w:keepLines w:val="0"/>
              <w:keepNext w:val="0"/>
              <w:spacing w:line="240" w:lineRule="auto"/>
              <w:widowControl/>
              <w:rPr>
                <w:rStyle w:val="1133"/>
                <w:rFonts w:hint="eastAsia" w:ascii="宋体" w:hAnsi="宋体" w:eastAsia="宋体" w:cs="宋体"/>
                <w:color w:val="auto"/>
                <w:sz w:val="21"/>
                <w:szCs w:val="21"/>
                <w:highlight w:val="none"/>
                <w:lang w:val="en-US" w:eastAsia="zh-CN" w:bidi="ar"/>
              </w:rPr>
              <w:suppressLineNumbers w:val="0"/>
            </w:pPr>
            <w:r>
              <w:rPr>
                <w:rStyle w:val="1133"/>
                <w:rFonts w:hint="eastAsia" w:ascii="宋体" w:hAnsi="宋体" w:eastAsia="宋体" w:cs="宋体"/>
                <w:color w:val="auto"/>
                <w:sz w:val="21"/>
                <w:szCs w:val="21"/>
                <w:highlight w:val="none"/>
                <w:lang w:val="en-US" w:eastAsia="zh-CN" w:bidi="ar"/>
              </w:rPr>
              <w:t xml:space="preserve">3.8配备磁吸式充电功能并设有充电指示灯。</w:t>
            </w:r>
            <w:r/>
          </w:p>
        </w:tc>
      </w:tr>
    </w:tbl>
    <w:p>
      <w:pPr>
        <w:pStyle w:val="1010"/>
        <w:ind w:firstLine="422"/>
        <w:keepLines w:val="0"/>
        <w:keepNext w:val="0"/>
        <w:pageBreakBefore w:val="0"/>
        <w:spacing w:line="360" w:lineRule="auto"/>
        <w:widowControl w:val="off"/>
        <w:rPr>
          <w:rFonts w:hint="eastAsia" w:ascii="宋体" w:hAnsi="宋体" w:eastAsia="宋体" w:cs="宋体"/>
          <w:b/>
          <w:bCs w:val="0"/>
          <w:sz w:val="21"/>
          <w:szCs w:val="21"/>
          <w:highlight w:val="none"/>
          <w:u w:val="none"/>
          <w:lang w:val="en-US" w:eastAsia="zh-CN"/>
        </w:rPr>
      </w:pPr>
      <w:r>
        <w:rPr>
          <w:rFonts w:hint="eastAsia" w:ascii="宋体" w:hAnsi="宋体" w:eastAsia="宋体" w:cs="宋体"/>
          <w:b/>
          <w:bCs w:val="0"/>
          <w:sz w:val="21"/>
          <w:szCs w:val="21"/>
          <w:highlight w:val="none"/>
          <w:u w:val="none"/>
          <w:lang w:val="en-US" w:eastAsia="zh-CN"/>
        </w:rPr>
        <w:t xml:space="preserve">注：</w:t>
      </w:r>
      <w:r/>
    </w:p>
    <w:p>
      <w:pPr>
        <w:pStyle w:val="1010"/>
        <w:numPr>
          <w:ilvl w:val="0"/>
          <w:numId w:val="0"/>
        </w:numPr>
        <w:ind w:firstLine="420"/>
        <w:keepLines w:val="0"/>
        <w:keepNext w:val="0"/>
        <w:pageBreakBefore w:val="0"/>
        <w:spacing w:line="360" w:lineRule="auto"/>
        <w:widowControl w:val="off"/>
        <w:rPr>
          <w:rFonts w:hint="eastAsia" w:ascii="宋体" w:hAnsi="宋体" w:eastAsia="宋体" w:cs="宋体"/>
          <w:b w:val="0"/>
          <w:bCs/>
          <w:sz w:val="21"/>
          <w:szCs w:val="21"/>
          <w:highlight w:val="none"/>
          <w:u w:val="none"/>
          <w:lang w:val="en-US" w:eastAsia="zh-CN"/>
        </w:rPr>
      </w:pPr>
      <w:r>
        <w:rPr>
          <w:rFonts w:hint="eastAsia" w:ascii="宋体" w:hAnsi="宋体" w:eastAsia="宋体" w:cs="宋体"/>
          <w:b w:val="0"/>
          <w:bCs/>
          <w:sz w:val="21"/>
          <w:szCs w:val="21"/>
          <w:highlight w:val="none"/>
          <w:u w:val="none"/>
          <w:lang w:val="en-US" w:eastAsia="zh-CN"/>
        </w:rPr>
        <w:t xml:space="preserve">（1）上述所有技术参数中涉及的型号仅为参考型号，投标人可以投其他型号，但所投产品的功能及技术参数应等于或高于参考型号的要求。</w:t>
      </w:r>
      <w:r/>
    </w:p>
    <w:p>
      <w:pPr>
        <w:pStyle w:val="1010"/>
        <w:numPr>
          <w:ilvl w:val="0"/>
          <w:numId w:val="0"/>
        </w:numPr>
        <w:ind w:firstLine="420"/>
        <w:keepLines w:val="0"/>
        <w:keepNext w:val="0"/>
        <w:pageBreakBefore w:val="0"/>
        <w:spacing w:line="360" w:lineRule="auto"/>
        <w:widowControl w:val="off"/>
        <w:rPr>
          <w:rFonts w:hint="eastAsia" w:cs="宋体"/>
          <w:b w:val="0"/>
          <w:bCs/>
          <w:sz w:val="21"/>
          <w:szCs w:val="21"/>
          <w:highlight w:val="none"/>
          <w:u w:val="none"/>
          <w:lang w:val="en-US" w:eastAsia="zh-CN"/>
        </w:rPr>
      </w:pPr>
      <w:r>
        <w:rPr>
          <w:rFonts w:hint="eastAsia" w:ascii="宋体" w:hAnsi="宋体" w:eastAsia="宋体" w:cs="宋体"/>
          <w:b w:val="0"/>
          <w:bCs/>
          <w:sz w:val="21"/>
          <w:szCs w:val="21"/>
          <w:highlight w:val="none"/>
          <w:u w:val="none"/>
          <w:lang w:val="en-US" w:eastAsia="zh-CN"/>
        </w:rPr>
        <w:t xml:space="preserve">（3）投标人需承诺中标后，货到现场，验收前提供清单中多功能水枪、20型65mm超轻水带（白色）、20型50mm水带（蓝色）、65mm转50mm三分水器、65mm转50mm二分水器、胸前照明灯、方位灯、哈里根、15米金属拉</w:t>
      </w:r>
      <w:r>
        <w:rPr>
          <w:rFonts w:hint="eastAsia" w:cs="宋体"/>
          <w:b w:val="0"/>
          <w:bCs/>
          <w:sz w:val="21"/>
          <w:szCs w:val="21"/>
          <w:highlight w:val="none"/>
          <w:u w:val="none"/>
          <w:lang w:val="en-US" w:eastAsia="zh-CN"/>
        </w:rPr>
        <w:t xml:space="preserve">梯对应的检测（检验）报告复印件，所有复印件须加盖厂家公章（上述报告须为国家认可的检测机构出具、在有效期内，且内容与所供产品参数、型号一致。未按期、按要求提供合格检测（检验）报告的，采购人有权不予验收，并暂缓后续付款流程，因此造成的所有实际损失及相关责任，均由中标人自行承担）。（未承诺的为非实质性响应）</w:t>
      </w:r>
      <w:r/>
    </w:p>
    <w:p>
      <w:pPr>
        <w:pStyle w:val="1010"/>
        <w:numPr>
          <w:ilvl w:val="0"/>
          <w:numId w:val="0"/>
        </w:numPr>
        <w:ind w:firstLine="420"/>
        <w:keepLines w:val="0"/>
        <w:keepNext w:val="0"/>
        <w:pageBreakBefore w:val="0"/>
        <w:spacing w:line="360" w:lineRule="auto"/>
        <w:widowControl w:val="off"/>
        <w:rPr>
          <w:rFonts w:hint="eastAsia" w:cs="宋体"/>
          <w:b w:val="0"/>
          <w:bCs/>
          <w:sz w:val="21"/>
          <w:szCs w:val="21"/>
          <w:highlight w:val="none"/>
          <w:u w:val="none"/>
          <w:lang w:val="en-US" w:eastAsia="zh-CN"/>
        </w:rPr>
      </w:pPr>
      <w:r>
        <w:rPr>
          <w:rFonts w:hint="eastAsia" w:cs="宋体"/>
          <w:b w:val="0"/>
          <w:bCs/>
          <w:sz w:val="21"/>
          <w:szCs w:val="21"/>
          <w:highlight w:val="none"/>
          <w:u w:val="none"/>
          <w:lang w:val="en-US" w:eastAsia="zh-CN"/>
        </w:rPr>
        <w:t xml:space="preserve">（2）投标人需承诺中标后，货到现场，验收前须提供背负式泡沫灭火器的防产品技术鉴定证书原件配合核验证明材料。（未承诺的为非实质性响应）</w:t>
      </w:r>
      <w:r/>
    </w:p>
    <w:p>
      <w:pPr>
        <w:pStyle w:val="1010"/>
        <w:ind w:firstLine="422"/>
        <w:keepLines w:val="0"/>
        <w:keepNext w:val="0"/>
        <w:pageBreakBefore w:val="0"/>
        <w:spacing w:line="360" w:lineRule="auto"/>
        <w:widowControl w:val="off"/>
        <w:rPr>
          <w:rFonts w:hint="eastAsia" w:ascii="宋体" w:hAnsi="宋体" w:eastAsia="宋体" w:cs="宋体"/>
          <w:b/>
          <w:bCs w:val="0"/>
          <w:sz w:val="21"/>
          <w:szCs w:val="21"/>
          <w:highlight w:val="none"/>
          <w:u w:val="none"/>
          <w:lang w:val="en-US" w:eastAsia="zh-CN"/>
        </w:rPr>
      </w:pPr>
      <w:r>
        <w:rPr>
          <w:rFonts w:hint="eastAsia" w:ascii="宋体" w:hAnsi="宋体" w:eastAsia="宋体" w:cs="宋体"/>
          <w:b/>
          <w:bCs w:val="0"/>
          <w:sz w:val="21"/>
          <w:szCs w:val="21"/>
          <w:highlight w:val="none"/>
          <w:u w:val="none"/>
          <w:lang w:val="en-US" w:eastAsia="zh-CN"/>
        </w:rPr>
        <w:t xml:space="preserve">三、投标货物要求及相关说明：</w:t>
      </w:r>
      <w:r/>
    </w:p>
    <w:p>
      <w:pPr>
        <w:pStyle w:val="1010"/>
        <w:ind w:firstLine="420"/>
        <w:keepLines w:val="0"/>
        <w:keepNext w:val="0"/>
        <w:pageBreakBefore w:val="0"/>
        <w:spacing w:line="360"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（一）货物要求</w:t>
      </w:r>
      <w:r/>
    </w:p>
    <w:p>
      <w:pPr>
        <w:pStyle w:val="1010"/>
        <w:ind w:firstLine="420"/>
        <w:keepLines w:val="0"/>
        <w:keepNext w:val="0"/>
        <w:pageBreakBefore w:val="0"/>
        <w:spacing w:line="360"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1</w:t>
      </w:r>
      <w:r>
        <w:rPr>
          <w:rFonts w:hint="eastAsia" w:cs="宋体"/>
          <w:sz w:val="21"/>
          <w:szCs w:val="21"/>
          <w:highlight w:val="none"/>
          <w:u w:val="none"/>
          <w:lang w:val="en-US" w:eastAsia="zh-CN"/>
        </w:rPr>
        <w:t xml:space="preserve">.</w:t>
      </w:r>
      <w:r>
        <w:rPr>
          <w:rFonts w:hint="eastAsia" w:ascii="宋体" w:hAnsi="宋体" w:eastAsia="宋体" w:cs="宋体"/>
          <w:sz w:val="21"/>
          <w:szCs w:val="21"/>
          <w:highlight w:val="none"/>
          <w:u w:val="none"/>
          <w:lang w:val="en-US" w:eastAsia="zh-CN"/>
        </w:rPr>
        <w:t xml:space="preserve">货物应能确保在正常的使用过程中安全、可靠并符合国家颁布的货物、质量、技术、安全等标准。</w:t>
      </w:r>
      <w:r/>
    </w:p>
    <w:p>
      <w:pPr>
        <w:pStyle w:val="1010"/>
        <w:ind w:firstLine="420"/>
        <w:keepLines w:val="0"/>
        <w:keepNext w:val="0"/>
        <w:pageBreakBefore w:val="0"/>
        <w:spacing w:line="360"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2</w:t>
      </w:r>
      <w:r>
        <w:rPr>
          <w:rFonts w:hint="eastAsia" w:cs="宋体"/>
          <w:sz w:val="21"/>
          <w:szCs w:val="21"/>
          <w:highlight w:val="none"/>
          <w:u w:val="none"/>
          <w:lang w:val="en-US" w:eastAsia="zh-CN"/>
        </w:rPr>
        <w:t xml:space="preserve">.</w:t>
      </w:r>
      <w:r>
        <w:rPr>
          <w:rFonts w:hint="eastAsia" w:ascii="宋体" w:hAnsi="宋体" w:eastAsia="宋体" w:cs="宋体"/>
          <w:sz w:val="21"/>
          <w:szCs w:val="21"/>
          <w:highlight w:val="none"/>
          <w:u w:val="none"/>
          <w:lang w:val="en-US" w:eastAsia="zh-CN"/>
        </w:rPr>
        <w:t xml:space="preserve">报价产品应是全新的、未使用过的、原包装未拆封的商品，完全符合采购规定的质量、规格、性能的相应要求。所提供货物质量必须符合国家相关标准，必须满足本次采购的要求。所有报价的产品，各项技术应当符合国家（强制性）标准及各项规范要求；国家没有相应标准、规范的，可使用行业标准、规定；非标准设备按招标约定的技术要求和规范。如质量出现问题，中标方负责“三包”，费用由中标方负责。注：如有最新标准或规范，按最新标准或规范执行。</w:t>
      </w:r>
      <w:r/>
    </w:p>
    <w:p>
      <w:pPr>
        <w:pStyle w:val="1010"/>
        <w:ind w:firstLine="420"/>
        <w:keepLines w:val="0"/>
        <w:keepNext w:val="0"/>
        <w:pageBreakBefore w:val="0"/>
        <w:spacing w:line="360"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3</w:t>
      </w:r>
      <w:r>
        <w:rPr>
          <w:rFonts w:hint="eastAsia" w:cs="宋体"/>
          <w:sz w:val="21"/>
          <w:szCs w:val="21"/>
          <w:highlight w:val="none"/>
          <w:u w:val="none"/>
          <w:lang w:val="en-US" w:eastAsia="zh-CN"/>
        </w:rPr>
        <w:t xml:space="preserve">.</w:t>
      </w:r>
      <w:r>
        <w:rPr>
          <w:rFonts w:hint="eastAsia" w:ascii="宋体" w:hAnsi="宋体" w:eastAsia="宋体" w:cs="宋体"/>
          <w:sz w:val="21"/>
          <w:szCs w:val="21"/>
          <w:highlight w:val="none"/>
          <w:u w:val="none"/>
          <w:lang w:val="en-US" w:eastAsia="zh-CN"/>
        </w:rPr>
        <w:t xml:space="preserve">本次采购的供货范围，除包括上述货物外，还应包括货物使用所必需的配件。</w:t>
      </w:r>
      <w:r/>
    </w:p>
    <w:p>
      <w:pPr>
        <w:pStyle w:val="1010"/>
        <w:ind w:firstLine="420"/>
        <w:keepLines w:val="0"/>
        <w:keepNext w:val="0"/>
        <w:pageBreakBefore w:val="0"/>
        <w:spacing w:line="360"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4</w:t>
      </w:r>
      <w:r>
        <w:rPr>
          <w:rFonts w:hint="eastAsia" w:cs="宋体"/>
          <w:sz w:val="21"/>
          <w:szCs w:val="21"/>
          <w:highlight w:val="none"/>
          <w:u w:val="none"/>
          <w:lang w:val="en-US" w:eastAsia="zh-CN"/>
        </w:rPr>
        <w:t xml:space="preserve">.</w:t>
      </w:r>
      <w:r>
        <w:rPr>
          <w:rFonts w:hint="eastAsia" w:ascii="宋体" w:hAnsi="宋体" w:eastAsia="宋体" w:cs="宋体"/>
          <w:sz w:val="21"/>
          <w:szCs w:val="21"/>
          <w:highlight w:val="none"/>
          <w:u w:val="none"/>
          <w:lang w:val="en-US" w:eastAsia="zh-CN"/>
        </w:rPr>
        <w:t xml:space="preserve">凡是国家强制3C认证目录中的产品，中标单位领取成交通知书5个工作日内须将3C证书原件送采购人核实，否则取消中标（成交）资格并承担相关法律责任、赔偿各方相关经济损失。</w:t>
      </w:r>
      <w:r/>
    </w:p>
    <w:p>
      <w:pPr>
        <w:pStyle w:val="1010"/>
        <w:ind w:firstLine="420"/>
        <w:keepLines w:val="0"/>
        <w:keepNext w:val="0"/>
        <w:pageBreakBefore w:val="0"/>
        <w:spacing w:line="360"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（二）特别说明</w:t>
      </w:r>
      <w:r/>
    </w:p>
    <w:p>
      <w:pPr>
        <w:pStyle w:val="1010"/>
        <w:ind w:firstLine="420"/>
        <w:keepLines w:val="0"/>
        <w:keepNext w:val="0"/>
        <w:pageBreakBefore w:val="0"/>
        <w:spacing w:line="360"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1</w:t>
      </w:r>
      <w:r>
        <w:rPr>
          <w:rFonts w:hint="eastAsia" w:cs="宋体"/>
          <w:sz w:val="21"/>
          <w:szCs w:val="21"/>
          <w:highlight w:val="none"/>
          <w:u w:val="none"/>
          <w:lang w:val="en-US" w:eastAsia="zh-CN"/>
        </w:rPr>
        <w:t xml:space="preserve">.</w:t>
      </w:r>
      <w:r>
        <w:rPr>
          <w:rFonts w:hint="eastAsia" w:ascii="宋体" w:hAnsi="宋体" w:eastAsia="宋体" w:cs="宋体"/>
          <w:sz w:val="21"/>
          <w:szCs w:val="21"/>
          <w:highlight w:val="none"/>
          <w:u w:val="none"/>
          <w:lang w:val="en-US" w:eastAsia="zh-CN"/>
        </w:rPr>
        <w:t xml:space="preserve">“采购清单及技术要求”及相关要求是投标单位投标报价的基础，投标单位不得对“采购清单及技术要求”序号进行任何修改。</w:t>
      </w:r>
      <w:r/>
    </w:p>
    <w:p>
      <w:pPr>
        <w:pStyle w:val="1010"/>
        <w:ind w:firstLine="420"/>
        <w:keepLines w:val="0"/>
        <w:keepNext w:val="0"/>
        <w:pageBreakBefore w:val="0"/>
        <w:spacing w:line="360"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2</w:t>
      </w:r>
      <w:r>
        <w:rPr>
          <w:rFonts w:hint="eastAsia" w:cs="宋体"/>
          <w:sz w:val="21"/>
          <w:szCs w:val="21"/>
          <w:highlight w:val="none"/>
          <w:u w:val="none"/>
          <w:lang w:val="en-US" w:eastAsia="zh-CN"/>
        </w:rPr>
        <w:t xml:space="preserve">.</w:t>
      </w:r>
      <w:r>
        <w:rPr>
          <w:rFonts w:hint="eastAsia" w:ascii="宋体" w:hAnsi="宋体" w:eastAsia="宋体" w:cs="宋体"/>
          <w:sz w:val="21"/>
          <w:szCs w:val="21"/>
          <w:highlight w:val="none"/>
          <w:u w:val="none"/>
          <w:lang w:val="en-US" w:eastAsia="zh-CN"/>
        </w:rPr>
        <w:t xml:space="preserve">投标单位应对“采购清单及技术要求”中的所有货物进行报价。</w:t>
      </w:r>
      <w:r/>
    </w:p>
    <w:p>
      <w:pPr>
        <w:pStyle w:val="1010"/>
        <w:ind w:firstLine="420"/>
        <w:keepLines w:val="0"/>
        <w:keepNext w:val="0"/>
        <w:pageBreakBefore w:val="0"/>
        <w:spacing w:line="360"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3</w:t>
      </w:r>
      <w:r>
        <w:rPr>
          <w:rFonts w:hint="eastAsia" w:cs="宋体"/>
          <w:sz w:val="21"/>
          <w:szCs w:val="21"/>
          <w:highlight w:val="none"/>
          <w:u w:val="none"/>
          <w:lang w:val="en-US" w:eastAsia="zh-CN"/>
        </w:rPr>
        <w:t xml:space="preserve">.</w:t>
      </w:r>
      <w:r>
        <w:rPr>
          <w:rFonts w:hint="eastAsia" w:ascii="宋体" w:hAnsi="宋体" w:eastAsia="宋体" w:cs="宋体"/>
          <w:sz w:val="21"/>
          <w:szCs w:val="21"/>
          <w:highlight w:val="none"/>
          <w:u w:val="none"/>
          <w:lang w:val="en-US" w:eastAsia="zh-CN"/>
        </w:rPr>
        <w:t xml:space="preserve">投标单位根据按照采购文件提供的技术响应表格式对技术指标逐条进行应答，如果以其中某些条款不响应时，应在文件中逐条列出，未列出的视同响应。</w:t>
      </w:r>
      <w:r/>
    </w:p>
    <w:p>
      <w:pPr>
        <w:pStyle w:val="1010"/>
        <w:ind w:firstLine="420"/>
        <w:keepLines w:val="0"/>
        <w:keepNext w:val="0"/>
        <w:pageBreakBefore w:val="0"/>
        <w:spacing w:line="360"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4</w:t>
      </w:r>
      <w:r>
        <w:rPr>
          <w:rFonts w:hint="eastAsia" w:cs="宋体"/>
          <w:sz w:val="21"/>
          <w:szCs w:val="21"/>
          <w:highlight w:val="none"/>
          <w:u w:val="none"/>
          <w:lang w:val="en-US" w:eastAsia="zh-CN"/>
        </w:rPr>
        <w:t xml:space="preserve">.</w:t>
      </w:r>
      <w:r>
        <w:rPr>
          <w:rFonts w:hint="eastAsia" w:ascii="宋体" w:hAnsi="宋体" w:eastAsia="宋体" w:cs="宋体"/>
          <w:sz w:val="21"/>
          <w:szCs w:val="21"/>
          <w:highlight w:val="none"/>
          <w:u w:val="none"/>
          <w:lang w:val="en-US" w:eastAsia="zh-CN"/>
        </w:rPr>
        <w:t xml:space="preserve">投标单位应明确所投货物的型号、规格和外形、尺寸、安装尺寸、重量及一些必须说明的技术参数，以及使用的材料的清单，同时明确生产厂家、型号规格等，并提供详细的技术参数及性能说明书。</w:t>
      </w:r>
      <w:r/>
    </w:p>
    <w:p>
      <w:pPr>
        <w:pStyle w:val="1010"/>
        <w:ind w:firstLine="420"/>
        <w:keepLines w:val="0"/>
        <w:keepNext w:val="0"/>
        <w:pageBreakBefore w:val="0"/>
        <w:spacing w:line="360"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5</w:t>
      </w:r>
      <w:r>
        <w:rPr>
          <w:rFonts w:hint="eastAsia" w:cs="宋体"/>
          <w:sz w:val="21"/>
          <w:szCs w:val="21"/>
          <w:highlight w:val="none"/>
          <w:u w:val="none"/>
          <w:lang w:val="en-US" w:eastAsia="zh-CN"/>
        </w:rPr>
        <w:t xml:space="preserve">.</w:t>
      </w:r>
      <w:r>
        <w:rPr>
          <w:rFonts w:hint="eastAsia" w:ascii="宋体" w:hAnsi="宋体" w:eastAsia="宋体" w:cs="宋体"/>
          <w:sz w:val="21"/>
          <w:szCs w:val="21"/>
          <w:highlight w:val="none"/>
          <w:u w:val="none"/>
          <w:lang w:val="en-US" w:eastAsia="zh-CN"/>
        </w:rPr>
        <w:t xml:space="preserve">采购单位有权不定期对成交标的物的生产过程等进行查看,如果发现中标单位存在违反本次采购标的物要求的,采购单位有权终止合同履行,相关损失由中标单位承担。</w:t>
      </w:r>
      <w:r/>
    </w:p>
    <w:p>
      <w:pPr>
        <w:pStyle w:val="1010"/>
        <w:ind w:firstLine="420"/>
        <w:keepLines w:val="0"/>
        <w:keepNext w:val="0"/>
        <w:pageBreakBefore w:val="0"/>
        <w:spacing w:line="360"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（三）包装和装运</w:t>
      </w:r>
      <w:r/>
    </w:p>
    <w:p>
      <w:pPr>
        <w:pStyle w:val="1010"/>
        <w:ind w:firstLine="420"/>
        <w:keepLines w:val="0"/>
        <w:keepNext w:val="0"/>
        <w:pageBreakBefore w:val="0"/>
        <w:spacing w:line="360"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1</w:t>
      </w:r>
      <w:r>
        <w:rPr>
          <w:rFonts w:hint="eastAsia" w:cs="宋体"/>
          <w:sz w:val="21"/>
          <w:szCs w:val="21"/>
          <w:highlight w:val="none"/>
          <w:u w:val="none"/>
          <w:lang w:val="en-US" w:eastAsia="zh-CN"/>
        </w:rPr>
        <w:t xml:space="preserve">.</w:t>
      </w:r>
      <w:r>
        <w:rPr>
          <w:rFonts w:hint="eastAsia" w:ascii="宋体" w:hAnsi="宋体" w:eastAsia="宋体" w:cs="宋体"/>
          <w:sz w:val="21"/>
          <w:szCs w:val="21"/>
          <w:highlight w:val="none"/>
          <w:u w:val="none"/>
          <w:lang w:val="en-US" w:eastAsia="zh-CN"/>
        </w:rPr>
        <w:t xml:space="preserve">包装必须与运输方式相适应，包装方式的确定由中标单位负责；由于不适当的包装而造成货物在运输过程中有任何损坏由中标单位负责。</w:t>
      </w:r>
      <w:r/>
    </w:p>
    <w:p>
      <w:pPr>
        <w:pStyle w:val="1010"/>
        <w:ind w:firstLine="420"/>
        <w:keepLines w:val="0"/>
        <w:keepNext w:val="0"/>
        <w:pageBreakBefore w:val="0"/>
        <w:spacing w:line="360"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2</w:t>
      </w:r>
      <w:r>
        <w:rPr>
          <w:rFonts w:hint="eastAsia" w:cs="宋体"/>
          <w:sz w:val="21"/>
          <w:szCs w:val="21"/>
          <w:highlight w:val="none"/>
          <w:u w:val="none"/>
          <w:lang w:val="en-US" w:eastAsia="zh-CN"/>
        </w:rPr>
        <w:t xml:space="preserve">.</w:t>
      </w:r>
      <w:r>
        <w:rPr>
          <w:rFonts w:hint="eastAsia" w:ascii="宋体" w:hAnsi="宋体" w:eastAsia="宋体" w:cs="宋体"/>
          <w:sz w:val="21"/>
          <w:szCs w:val="21"/>
          <w:highlight w:val="none"/>
          <w:u w:val="none"/>
          <w:lang w:val="en-US" w:eastAsia="zh-CN"/>
        </w:rPr>
        <w:t xml:space="preserve">包装应足以承受整个过程中的运输、转运、装卸、储存等，充分考虑到运输途中的各种情况（如暴露于恶劣气候等）和苏州地区的气候特点。</w:t>
      </w:r>
      <w:r/>
    </w:p>
    <w:p>
      <w:pPr>
        <w:pStyle w:val="1010"/>
        <w:ind w:firstLine="420"/>
        <w:keepLines w:val="0"/>
        <w:keepNext w:val="0"/>
        <w:pageBreakBefore w:val="0"/>
        <w:spacing w:line="360"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（四）安装、检验与质量保证</w:t>
      </w:r>
      <w:r/>
    </w:p>
    <w:p>
      <w:pPr>
        <w:pStyle w:val="1010"/>
        <w:ind w:firstLine="420"/>
        <w:keepLines w:val="0"/>
        <w:keepNext w:val="0"/>
        <w:pageBreakBefore w:val="0"/>
        <w:spacing w:line="360"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1</w:t>
      </w:r>
      <w:r>
        <w:rPr>
          <w:rFonts w:hint="eastAsia" w:cs="宋体"/>
          <w:sz w:val="21"/>
          <w:szCs w:val="21"/>
          <w:highlight w:val="none"/>
          <w:u w:val="none"/>
          <w:lang w:val="en-US" w:eastAsia="zh-CN"/>
        </w:rPr>
        <w:t xml:space="preserve">.</w:t>
      </w:r>
      <w:r>
        <w:rPr>
          <w:rFonts w:hint="eastAsia" w:ascii="宋体" w:hAnsi="宋体" w:eastAsia="宋体" w:cs="宋体"/>
          <w:sz w:val="21"/>
          <w:szCs w:val="21"/>
          <w:highlight w:val="none"/>
          <w:u w:val="none"/>
          <w:lang w:val="en-US" w:eastAsia="zh-CN"/>
        </w:rPr>
        <w:t xml:space="preserve">安装</w:t>
      </w:r>
      <w:r/>
    </w:p>
    <w:p>
      <w:pPr>
        <w:pStyle w:val="1010"/>
        <w:ind w:firstLine="420"/>
        <w:keepLines w:val="0"/>
        <w:keepNext w:val="0"/>
        <w:pageBreakBefore w:val="0"/>
        <w:spacing w:line="360"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1.1如有需要安装的货物，中标单位必须派技术人员到现场安装，并检查安装质量。</w:t>
      </w:r>
      <w:r/>
    </w:p>
    <w:p>
      <w:pPr>
        <w:pStyle w:val="1010"/>
        <w:ind w:firstLine="420"/>
        <w:keepLines w:val="0"/>
        <w:keepNext w:val="0"/>
        <w:pageBreakBefore w:val="0"/>
        <w:spacing w:line="360"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1.2中标单位应负责现场安装人员的安全管理并提供安装中全部所需的工具。</w:t>
      </w:r>
      <w:r/>
    </w:p>
    <w:p>
      <w:pPr>
        <w:pStyle w:val="1010"/>
        <w:ind w:firstLine="420"/>
        <w:keepLines w:val="0"/>
        <w:keepNext w:val="0"/>
        <w:pageBreakBefore w:val="0"/>
        <w:spacing w:line="360"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2</w:t>
      </w:r>
      <w:r>
        <w:rPr>
          <w:rFonts w:hint="eastAsia" w:cs="宋体"/>
          <w:sz w:val="21"/>
          <w:szCs w:val="21"/>
          <w:highlight w:val="none"/>
          <w:u w:val="none"/>
          <w:lang w:val="en-US" w:eastAsia="zh-CN"/>
        </w:rPr>
        <w:t xml:space="preserve">.</w:t>
      </w:r>
      <w:r>
        <w:rPr>
          <w:rFonts w:hint="eastAsia" w:ascii="宋体" w:hAnsi="宋体" w:eastAsia="宋体" w:cs="宋体"/>
          <w:sz w:val="21"/>
          <w:szCs w:val="21"/>
          <w:highlight w:val="none"/>
          <w:u w:val="none"/>
          <w:lang w:val="en-US" w:eastAsia="zh-CN"/>
        </w:rPr>
        <w:t xml:space="preserve">验收依据</w:t>
      </w:r>
      <w:r/>
    </w:p>
    <w:p>
      <w:pPr>
        <w:pStyle w:val="1010"/>
        <w:ind w:firstLine="420"/>
        <w:keepLines w:val="0"/>
        <w:keepNext w:val="0"/>
        <w:pageBreakBefore w:val="0"/>
        <w:spacing w:line="360"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2.1招标文件、中标单位的响应文件、双方签订的合同文件及其附件。</w:t>
      </w:r>
      <w:r/>
    </w:p>
    <w:p>
      <w:pPr>
        <w:pStyle w:val="1010"/>
        <w:ind w:firstLine="420"/>
        <w:keepLines w:val="0"/>
        <w:keepNext w:val="0"/>
        <w:pageBreakBefore w:val="0"/>
        <w:spacing w:line="360"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2.2中国政府颁布的相关国家标准和行业标准。</w:t>
      </w:r>
      <w:r/>
    </w:p>
    <w:p>
      <w:pPr>
        <w:pStyle w:val="1010"/>
        <w:ind w:firstLine="420"/>
        <w:keepLines w:val="0"/>
        <w:keepNext w:val="0"/>
        <w:pageBreakBefore w:val="0"/>
        <w:spacing w:line="360"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3</w:t>
      </w:r>
      <w:r>
        <w:rPr>
          <w:rFonts w:hint="eastAsia" w:cs="宋体"/>
          <w:sz w:val="21"/>
          <w:szCs w:val="21"/>
          <w:highlight w:val="none"/>
          <w:u w:val="none"/>
          <w:lang w:val="en-US" w:eastAsia="zh-CN"/>
        </w:rPr>
        <w:t xml:space="preserve">.</w:t>
      </w:r>
      <w:r>
        <w:rPr>
          <w:rFonts w:hint="eastAsia" w:ascii="宋体" w:hAnsi="宋体" w:eastAsia="宋体" w:cs="宋体"/>
          <w:sz w:val="21"/>
          <w:szCs w:val="21"/>
          <w:highlight w:val="none"/>
          <w:u w:val="none"/>
          <w:lang w:val="en-US" w:eastAsia="zh-CN"/>
        </w:rPr>
        <w:t xml:space="preserve">如双方对验收结果有分歧，则以苏州市技术质量监督局的检验结果为准，检验费用由有过失的一方支付。</w:t>
      </w:r>
      <w:r/>
    </w:p>
    <w:p>
      <w:pPr>
        <w:pStyle w:val="1010"/>
        <w:ind w:firstLine="420"/>
        <w:keepLines w:val="0"/>
        <w:keepNext w:val="0"/>
        <w:pageBreakBefore w:val="0"/>
        <w:spacing w:line="360"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4</w:t>
      </w:r>
      <w:r>
        <w:rPr>
          <w:rFonts w:hint="eastAsia" w:cs="宋体"/>
          <w:sz w:val="21"/>
          <w:szCs w:val="21"/>
          <w:highlight w:val="none"/>
          <w:u w:val="none"/>
          <w:lang w:val="en-US" w:eastAsia="zh-CN"/>
        </w:rPr>
        <w:t xml:space="preserve">.</w:t>
      </w:r>
      <w:r>
        <w:rPr>
          <w:rFonts w:hint="eastAsia" w:ascii="宋体" w:hAnsi="宋体" w:eastAsia="宋体" w:cs="宋体"/>
          <w:sz w:val="21"/>
          <w:szCs w:val="21"/>
          <w:highlight w:val="none"/>
          <w:u w:val="none"/>
          <w:lang w:val="en-US" w:eastAsia="zh-CN"/>
        </w:rPr>
        <w:t xml:space="preserve">质量保证</w:t>
      </w:r>
      <w:r/>
    </w:p>
    <w:p>
      <w:pPr>
        <w:pStyle w:val="1010"/>
        <w:ind w:firstLine="420"/>
        <w:keepLines w:val="0"/>
        <w:keepNext w:val="0"/>
        <w:pageBreakBefore w:val="0"/>
        <w:spacing w:line="360"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4.1中标单位保证合同货物是全新的，配件为原装的，完全符合国家有关质量标准和合同规定的质量、规格和性能的要求，并有货物“合格证”或“产品质量保证书”，严禁提供假冒伪劣货物，一经发现，采购单位有权解除本合同，且因此而产生的一切费用和责任由中标单位承担。</w:t>
      </w:r>
      <w:r/>
    </w:p>
    <w:p>
      <w:pPr>
        <w:pStyle w:val="1010"/>
        <w:ind w:firstLine="420"/>
        <w:keepLines w:val="0"/>
        <w:keepNext w:val="0"/>
        <w:pageBreakBefore w:val="0"/>
        <w:spacing w:line="360"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4.2履行中标单位在其响应文件中的服务承诺。</w:t>
      </w:r>
      <w:r/>
    </w:p>
    <w:p>
      <w:pPr>
        <w:pStyle w:val="1010"/>
        <w:ind w:firstLine="420"/>
        <w:keepLines w:val="0"/>
        <w:keepNext w:val="0"/>
        <w:pageBreakBefore w:val="0"/>
        <w:spacing w:line="360"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4.3若货物验收时货物质量不能满足要求，采购单位有权要求更换，同时有权提出索赔，所产生的一切费用（含所有检验费用）由中标单位承担。</w:t>
      </w:r>
      <w:r/>
    </w:p>
    <w:p>
      <w:pPr>
        <w:pStyle w:val="1010"/>
        <w:ind w:firstLine="420"/>
        <w:keepLines w:val="0"/>
        <w:keepNext w:val="0"/>
        <w:pageBreakBefore w:val="0"/>
        <w:spacing w:line="360"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（五）售后服务</w:t>
      </w:r>
      <w:r/>
    </w:p>
    <w:p>
      <w:pPr>
        <w:pStyle w:val="1010"/>
        <w:ind w:firstLine="420"/>
        <w:keepLines w:val="0"/>
        <w:keepNext w:val="0"/>
        <w:pageBreakBefore w:val="0"/>
        <w:spacing w:line="360"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1</w:t>
      </w:r>
      <w:r>
        <w:rPr>
          <w:rFonts w:hint="eastAsia" w:cs="宋体"/>
          <w:sz w:val="21"/>
          <w:szCs w:val="21"/>
          <w:highlight w:val="none"/>
          <w:u w:val="none"/>
          <w:lang w:val="en-US" w:eastAsia="zh-CN"/>
        </w:rPr>
        <w:t xml:space="preserve">.</w:t>
      </w:r>
      <w:r>
        <w:rPr>
          <w:rFonts w:hint="eastAsia" w:ascii="宋体" w:hAnsi="宋体" w:eastAsia="宋体" w:cs="宋体"/>
          <w:sz w:val="21"/>
          <w:szCs w:val="21"/>
          <w:highlight w:val="none"/>
          <w:u w:val="none"/>
          <w:lang w:val="en-US" w:eastAsia="zh-CN"/>
        </w:rPr>
        <w:t xml:space="preserve">中标单位货物经过双方检验认可后，签署验收报告，免费质量保证期</w:t>
      </w:r>
      <w:r>
        <w:rPr>
          <w:rFonts w:hint="eastAsia" w:cs="宋体"/>
          <w:sz w:val="21"/>
          <w:szCs w:val="21"/>
          <w:highlight w:val="none"/>
          <w:u w:val="none"/>
          <w:lang w:val="en-US" w:eastAsia="zh-CN"/>
        </w:rPr>
        <w:t xml:space="preserve">二</w:t>
      </w:r>
      <w:r>
        <w:rPr>
          <w:rFonts w:hint="eastAsia" w:ascii="宋体" w:hAnsi="宋体" w:eastAsia="宋体" w:cs="宋体"/>
          <w:sz w:val="21"/>
          <w:szCs w:val="21"/>
          <w:highlight w:val="none"/>
          <w:u w:val="none"/>
          <w:lang w:val="en-US" w:eastAsia="zh-CN"/>
        </w:rPr>
        <w:t xml:space="preserve">年（招标文件具体技术要求另有说明的除外），质量保证期自货物验收合格之日起算，由中标单位提供货物保修文件。</w:t>
      </w:r>
      <w:r/>
    </w:p>
    <w:p>
      <w:pPr>
        <w:pStyle w:val="1010"/>
        <w:ind w:firstLine="420"/>
        <w:keepLines w:val="0"/>
        <w:keepNext w:val="0"/>
        <w:pageBreakBefore w:val="0"/>
        <w:spacing w:line="360"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2</w:t>
      </w:r>
      <w:r>
        <w:rPr>
          <w:rFonts w:hint="eastAsia" w:cs="宋体"/>
          <w:sz w:val="21"/>
          <w:szCs w:val="21"/>
          <w:highlight w:val="none"/>
          <w:u w:val="none"/>
          <w:lang w:val="en-US" w:eastAsia="zh-CN"/>
        </w:rPr>
        <w:t xml:space="preserve">.</w:t>
      </w:r>
      <w:r>
        <w:rPr>
          <w:rFonts w:hint="eastAsia" w:ascii="宋体" w:hAnsi="宋体" w:eastAsia="宋体" w:cs="宋体"/>
          <w:sz w:val="21"/>
          <w:szCs w:val="21"/>
          <w:highlight w:val="none"/>
          <w:u w:val="none"/>
          <w:lang w:val="en-US" w:eastAsia="zh-CN"/>
        </w:rPr>
        <w:t xml:space="preserve">在质保期内出现质量问题，中标单位需在2小时内响应，12小时内赶到现场提供免费服务,并在3天内完成修复或更换，无法修复或经过两次修复仍出现质量问题，予以换货，造成采购单位的损失，由中标单位负责，采购单位应尽快以书面形式或口头通知中标单位，并向中标单位提出索赔。如中标单位在接到通知后3天内没有答复或处理问题，则视为中标单位承认质量问题并承担由此而发生的一切费用。</w:t>
      </w:r>
      <w:r/>
    </w:p>
    <w:p>
      <w:pPr>
        <w:pStyle w:val="1010"/>
        <w:ind w:firstLine="420"/>
        <w:keepLines w:val="0"/>
        <w:keepNext w:val="0"/>
        <w:pageBreakBefore w:val="0"/>
        <w:spacing w:line="360"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3.中标单位须提供全面使用、维护培训。</w:t>
      </w:r>
      <w:r/>
    </w:p>
    <w:p>
      <w:pPr>
        <w:pStyle w:val="1010"/>
        <w:ind w:firstLine="420"/>
        <w:keepLines w:val="0"/>
        <w:keepNext w:val="0"/>
        <w:pageBreakBefore w:val="0"/>
        <w:spacing w:line="360"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4.质保期满以后，卖方应按同类货物的优惠价格提供保修服务。</w:t>
      </w:r>
      <w:r/>
    </w:p>
    <w:p>
      <w:pPr>
        <w:pStyle w:val="1010"/>
        <w:ind w:firstLine="422"/>
        <w:keepLines w:val="0"/>
        <w:keepNext w:val="0"/>
        <w:pageBreakBefore w:val="0"/>
        <w:spacing w:line="360" w:lineRule="auto"/>
        <w:widowControl w:val="off"/>
        <w:rPr>
          <w:rFonts w:hint="eastAsia" w:ascii="宋体" w:hAnsi="宋体" w:eastAsia="宋体" w:cs="宋体"/>
          <w:b/>
          <w:bCs w:val="0"/>
          <w:sz w:val="21"/>
          <w:szCs w:val="21"/>
          <w:highlight w:val="none"/>
          <w:u w:val="none"/>
          <w:lang w:val="en-US" w:eastAsia="zh-CN"/>
        </w:rPr>
      </w:pPr>
      <w:r>
        <w:rPr>
          <w:rFonts w:hint="eastAsia" w:ascii="宋体" w:hAnsi="宋体" w:eastAsia="宋体" w:cs="宋体"/>
          <w:b/>
          <w:bCs w:val="0"/>
          <w:sz w:val="21"/>
          <w:szCs w:val="21"/>
          <w:highlight w:val="none"/>
          <w:u w:val="none"/>
          <w:lang w:val="en-US" w:eastAsia="zh-CN"/>
        </w:rPr>
        <w:t xml:space="preserve">四、综合说明其他要求</w:t>
      </w:r>
      <w:r>
        <w:rPr>
          <w:rFonts w:hint="eastAsia" w:cs="宋体"/>
          <w:b/>
          <w:bCs w:val="0"/>
          <w:sz w:val="21"/>
          <w:szCs w:val="21"/>
          <w:highlight w:val="none"/>
          <w:u w:val="none"/>
          <w:lang w:val="en-US" w:eastAsia="zh-CN"/>
        </w:rPr>
        <w:t xml:space="preserve">：</w:t>
      </w:r>
      <w:r/>
    </w:p>
    <w:p>
      <w:pPr>
        <w:pStyle w:val="1010"/>
        <w:ind w:firstLine="420"/>
        <w:keepLines w:val="0"/>
        <w:keepNext w:val="0"/>
        <w:pageBreakBefore w:val="0"/>
        <w:spacing w:line="360"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1</w:t>
      </w:r>
      <w:r>
        <w:rPr>
          <w:rFonts w:hint="eastAsia" w:cs="宋体"/>
          <w:sz w:val="21"/>
          <w:szCs w:val="21"/>
          <w:highlight w:val="none"/>
          <w:u w:val="none"/>
          <w:lang w:val="en-US" w:eastAsia="zh-CN"/>
        </w:rPr>
        <w:t xml:space="preserve">.</w:t>
      </w:r>
      <w:r>
        <w:rPr>
          <w:rFonts w:hint="eastAsia" w:ascii="宋体" w:hAnsi="宋体" w:eastAsia="宋体" w:cs="宋体"/>
          <w:sz w:val="21"/>
          <w:szCs w:val="21"/>
          <w:highlight w:val="none"/>
          <w:u w:val="none"/>
          <w:lang w:val="en-US" w:eastAsia="zh-CN"/>
        </w:rPr>
        <w:t xml:space="preserve">投标单位所投产品应明确所投产品的品牌、型号、规格和外形、尺寸及一些必须说明的技术参数，以及设备配置清单，同时明确生产厂家、型号规格等，并提供详细的技术参数。</w:t>
      </w:r>
      <w:r/>
    </w:p>
    <w:p>
      <w:pPr>
        <w:pStyle w:val="1010"/>
        <w:ind w:firstLine="420"/>
        <w:keepLines w:val="0"/>
        <w:keepNext w:val="0"/>
        <w:pageBreakBefore w:val="0"/>
        <w:spacing w:line="360"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2</w:t>
      </w:r>
      <w:r>
        <w:rPr>
          <w:rFonts w:hint="eastAsia" w:cs="宋体"/>
          <w:sz w:val="21"/>
          <w:szCs w:val="21"/>
          <w:highlight w:val="none"/>
          <w:u w:val="none"/>
          <w:lang w:val="en-US" w:eastAsia="zh-CN"/>
        </w:rPr>
        <w:t xml:space="preserve">.</w:t>
      </w:r>
      <w:r>
        <w:rPr>
          <w:rFonts w:hint="eastAsia" w:ascii="宋体" w:hAnsi="宋体" w:eastAsia="宋体" w:cs="宋体"/>
          <w:sz w:val="21"/>
          <w:szCs w:val="21"/>
          <w:highlight w:val="none"/>
          <w:u w:val="none"/>
          <w:lang w:val="en-US" w:eastAsia="zh-CN"/>
        </w:rPr>
        <w:t xml:space="preserve">投标单位根据招标文件中提出的全部技术规格与要求选择配置并列出所投设备的技术规格，如果以其中某些条款不响应时，应在投标文件中逐条列出，未列出的视同响应。</w:t>
      </w:r>
      <w:r/>
    </w:p>
    <w:p>
      <w:pPr>
        <w:pStyle w:val="1010"/>
        <w:ind w:firstLine="420"/>
        <w:keepLines w:val="0"/>
        <w:keepNext w:val="0"/>
        <w:pageBreakBefore w:val="0"/>
        <w:spacing w:line="360"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3</w:t>
      </w:r>
      <w:r>
        <w:rPr>
          <w:rFonts w:hint="eastAsia" w:cs="宋体"/>
          <w:sz w:val="21"/>
          <w:szCs w:val="21"/>
          <w:highlight w:val="none"/>
          <w:u w:val="none"/>
          <w:lang w:val="en-US" w:eastAsia="zh-CN"/>
        </w:rPr>
        <w:t xml:space="preserve">.</w:t>
      </w:r>
      <w:r>
        <w:rPr>
          <w:rFonts w:hint="eastAsia" w:ascii="宋体" w:hAnsi="宋体" w:eastAsia="宋体" w:cs="宋体"/>
          <w:sz w:val="21"/>
          <w:szCs w:val="21"/>
          <w:highlight w:val="none"/>
          <w:u w:val="none"/>
          <w:lang w:val="en-US" w:eastAsia="zh-CN"/>
        </w:rPr>
        <w:t xml:space="preserve">投标总报价一次报定，包括所有货物和服务、配件、辅材以及相关的备件、专用工具、运输、装卸、人工、安装、调试、培训、保险、检验检测、专利技术、技术支持、利润、税金、政策性文件规定及合同包含的所有风险、责任等各项应有费用。 </w:t>
      </w:r>
      <w:r/>
    </w:p>
    <w:p>
      <w:pPr>
        <w:pStyle w:val="1010"/>
        <w:ind w:firstLine="420"/>
        <w:keepLines w:val="0"/>
        <w:keepNext w:val="0"/>
        <w:pageBreakBefore w:val="0"/>
        <w:spacing w:line="360"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4</w:t>
      </w:r>
      <w:r>
        <w:rPr>
          <w:rFonts w:hint="eastAsia" w:cs="宋体"/>
          <w:sz w:val="21"/>
          <w:szCs w:val="21"/>
          <w:highlight w:val="none"/>
          <w:u w:val="none"/>
          <w:lang w:val="en-US" w:eastAsia="zh-CN"/>
        </w:rPr>
        <w:t xml:space="preserve">.</w:t>
      </w:r>
      <w:r>
        <w:rPr>
          <w:rFonts w:hint="eastAsia" w:ascii="宋体" w:hAnsi="宋体" w:eastAsia="宋体" w:cs="宋体"/>
          <w:sz w:val="21"/>
          <w:szCs w:val="21"/>
          <w:highlight w:val="none"/>
          <w:u w:val="none"/>
          <w:lang w:val="en-US" w:eastAsia="zh-CN"/>
        </w:rPr>
        <w:t xml:space="preserve">交货期：</w:t>
      </w:r>
      <w:r>
        <w:rPr>
          <w:rFonts w:hint="eastAsia" w:cs="宋体"/>
          <w:sz w:val="21"/>
          <w:szCs w:val="21"/>
          <w:highlight w:val="none"/>
          <w:u w:val="none"/>
          <w:lang w:val="en-US" w:eastAsia="zh-CN"/>
        </w:rPr>
        <w:t xml:space="preserve">自合同签订生效后45天内完成全部采购内容的供货安装调试并交付正常使用；消防设备质保2年，免费保修期为自货物验收合格之日起算。</w:t>
      </w:r>
      <w:r/>
    </w:p>
    <w:p>
      <w:pPr>
        <w:pStyle w:val="1010"/>
        <w:ind w:firstLine="420"/>
        <w:keepLines w:val="0"/>
        <w:keepNext w:val="0"/>
        <w:pageBreakBefore w:val="0"/>
        <w:spacing w:line="360"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5</w:t>
      </w:r>
      <w:r>
        <w:rPr>
          <w:rFonts w:hint="eastAsia" w:cs="宋体"/>
          <w:sz w:val="21"/>
          <w:szCs w:val="21"/>
          <w:highlight w:val="none"/>
          <w:u w:val="none"/>
          <w:lang w:val="en-US" w:eastAsia="zh-CN"/>
        </w:rPr>
        <w:t xml:space="preserve">.</w:t>
      </w:r>
      <w:r>
        <w:rPr>
          <w:rFonts w:hint="eastAsia" w:ascii="宋体" w:hAnsi="宋体" w:eastAsia="宋体" w:cs="宋体"/>
          <w:sz w:val="21"/>
          <w:szCs w:val="21"/>
          <w:highlight w:val="none"/>
          <w:u w:val="none"/>
          <w:lang w:val="en-US" w:eastAsia="zh-CN"/>
        </w:rPr>
        <w:t xml:space="preserve">交货地点：具体按照采购单位要求。</w:t>
      </w:r>
      <w:r/>
    </w:p>
    <w:p>
      <w:pPr>
        <w:pStyle w:val="1010"/>
        <w:ind w:firstLine="420"/>
        <w:keepLines w:val="0"/>
        <w:keepNext w:val="0"/>
        <w:pageBreakBefore w:val="0"/>
        <w:spacing w:line="360" w:lineRule="auto"/>
        <w:widowControl w:val="off"/>
        <w:rPr>
          <w:rFonts w:hint="eastAsia" w:ascii="宋体" w:hAnsi="宋体" w:eastAsia="宋体" w:cs="宋体"/>
          <w:sz w:val="21"/>
          <w:szCs w:val="21"/>
          <w:highlight w:val="none"/>
          <w:u w:val="none"/>
          <w:lang w:val="en-US" w:eastAsia="zh-CN"/>
        </w:rPr>
      </w:pPr>
      <w:r>
        <w:rPr>
          <w:rFonts w:hint="eastAsia" w:cs="宋体"/>
          <w:sz w:val="21"/>
          <w:szCs w:val="21"/>
          <w:highlight w:val="none"/>
          <w:u w:val="none"/>
          <w:lang w:val="en-US" w:eastAsia="zh-CN"/>
        </w:rPr>
        <w:t xml:space="preserve">6</w:t>
      </w:r>
      <w:r>
        <w:rPr>
          <w:rFonts w:hint="eastAsia" w:ascii="宋体" w:hAnsi="宋体" w:eastAsia="宋体" w:cs="宋体"/>
          <w:sz w:val="21"/>
          <w:szCs w:val="21"/>
          <w:highlight w:val="none"/>
          <w:u w:val="none"/>
          <w:lang w:val="en-US" w:eastAsia="zh-CN"/>
        </w:rPr>
        <w:t xml:space="preserve">.付款步骤：合同签订后甲方支付合同价款的30%的货款，全部货物到达现场，安装完毕且验收合格后付合同价款的</w:t>
      </w:r>
      <w:r>
        <w:rPr>
          <w:rFonts w:hint="eastAsia" w:cs="宋体"/>
          <w:sz w:val="21"/>
          <w:szCs w:val="21"/>
          <w:highlight w:val="none"/>
          <w:u w:val="none"/>
          <w:lang w:val="en-US" w:eastAsia="zh-CN"/>
        </w:rPr>
        <w:t xml:space="preserve">60</w:t>
      </w:r>
      <w:r>
        <w:rPr>
          <w:rFonts w:hint="eastAsia" w:ascii="宋体" w:hAnsi="宋体" w:eastAsia="宋体" w:cs="宋体"/>
          <w:sz w:val="21"/>
          <w:szCs w:val="21"/>
          <w:highlight w:val="none"/>
          <w:u w:val="none"/>
          <w:lang w:val="en-US" w:eastAsia="zh-CN"/>
        </w:rPr>
        <w:t xml:space="preserve">%</w:t>
      </w:r>
      <w:r>
        <w:rPr>
          <w:rFonts w:hint="eastAsia" w:cs="宋体"/>
          <w:sz w:val="21"/>
          <w:szCs w:val="21"/>
          <w:highlight w:val="none"/>
          <w:u w:val="none"/>
          <w:lang w:val="en-US" w:eastAsia="zh-CN"/>
        </w:rPr>
        <w:t xml:space="preserve">，余款质保期满后一次性付清</w:t>
      </w:r>
      <w:r>
        <w:rPr>
          <w:rFonts w:hint="eastAsia" w:ascii="宋体" w:hAnsi="宋体" w:eastAsia="宋体" w:cs="宋体"/>
          <w:sz w:val="21"/>
          <w:szCs w:val="21"/>
          <w:highlight w:val="none"/>
          <w:u w:val="none"/>
          <w:lang w:val="en-US" w:eastAsia="zh-CN"/>
        </w:rPr>
        <w:t xml:space="preserve">。</w:t>
      </w:r>
      <w:r/>
    </w:p>
    <w:p>
      <w:pPr>
        <w:pStyle w:val="1010"/>
        <w:ind w:firstLine="420"/>
        <w:keepLines w:val="0"/>
        <w:keepNext w:val="0"/>
        <w:pageBreakBefore w:val="0"/>
        <w:spacing w:line="360" w:lineRule="auto"/>
        <w:widowControl w:val="off"/>
        <w:rPr>
          <w:rFonts w:hint="eastAsia" w:cs="宋体"/>
          <w:sz w:val="21"/>
          <w:szCs w:val="21"/>
          <w:highlight w:val="none"/>
          <w:u w:val="none"/>
          <w:lang w:val="en-US" w:eastAsia="zh-CN"/>
        </w:rPr>
      </w:pPr>
      <w:r>
        <w:rPr>
          <w:rFonts w:hint="eastAsia" w:cs="宋体"/>
          <w:sz w:val="21"/>
          <w:szCs w:val="21"/>
          <w:highlight w:val="none"/>
          <w:u w:val="none"/>
          <w:lang w:val="en-US" w:eastAsia="zh-CN"/>
        </w:rPr>
        <w:t xml:space="preserve">7.验收标准：满足国家相关标准及有关规定和标书要求，并由采购方验收通过。</w:t>
      </w:r>
      <w:r/>
    </w:p>
    <w:p>
      <w:pPr>
        <w:pStyle w:val="1010"/>
        <w:ind w:firstLine="420"/>
        <w:keepLines w:val="0"/>
        <w:keepNext w:val="0"/>
        <w:pageBreakBefore w:val="0"/>
        <w:spacing w:line="360" w:lineRule="auto"/>
        <w:widowControl w:val="off"/>
        <w:rPr>
          <w:rFonts w:hint="eastAsia" w:cs="宋体"/>
          <w:sz w:val="21"/>
          <w:szCs w:val="21"/>
          <w:highlight w:val="none"/>
          <w:u w:val="none"/>
          <w:lang w:val="en-US" w:eastAsia="zh-CN"/>
        </w:rPr>
      </w:pPr>
      <w:r>
        <w:rPr>
          <w:rFonts w:hint="eastAsia" w:cs="宋体"/>
          <w:sz w:val="21"/>
          <w:szCs w:val="21"/>
          <w:highlight w:val="none"/>
          <w:u w:val="none"/>
          <w:lang w:val="en-US" w:eastAsia="zh-CN"/>
        </w:rPr>
        <w:t xml:space="preserve">7.1中标单位向采购人提供详细的供货清单，由采购人确认。当货物到达采购人指定的现场后，采购人和中标单位依据供货清单共同对货物进行检验，并对货物的数量、品质进行逐项检查；</w:t>
      </w:r>
      <w:r/>
    </w:p>
    <w:p>
      <w:pPr>
        <w:pStyle w:val="1010"/>
        <w:ind w:firstLine="420"/>
        <w:keepLines w:val="0"/>
        <w:keepNext w:val="0"/>
        <w:pageBreakBefore w:val="0"/>
        <w:spacing w:line="360" w:lineRule="auto"/>
        <w:widowControl w:val="off"/>
        <w:rPr>
          <w:rFonts w:hint="eastAsia" w:cs="宋体"/>
          <w:sz w:val="21"/>
          <w:szCs w:val="21"/>
          <w:highlight w:val="none"/>
          <w:u w:val="none"/>
          <w:lang w:val="en-US" w:eastAsia="zh-CN"/>
        </w:rPr>
      </w:pPr>
      <w:r>
        <w:rPr>
          <w:rFonts w:hint="eastAsia" w:cs="宋体"/>
          <w:sz w:val="21"/>
          <w:szCs w:val="21"/>
          <w:highlight w:val="none"/>
          <w:u w:val="none"/>
          <w:lang w:val="en-US" w:eastAsia="zh-CN"/>
        </w:rPr>
        <w:t xml:space="preserve">7.2验收以最终用户地验收为准。投标货物经过双方检验认可后，签署《政府采购履约验收书》，货物保修期自验收合格之日起算，由中标单位提供货物保修文件；</w:t>
      </w:r>
      <w:r/>
    </w:p>
    <w:p>
      <w:pPr>
        <w:pStyle w:val="1010"/>
        <w:ind w:firstLine="420"/>
        <w:keepLines w:val="0"/>
        <w:keepNext w:val="0"/>
        <w:pageBreakBefore w:val="0"/>
        <w:spacing w:line="360" w:lineRule="auto"/>
        <w:widowControl w:val="off"/>
        <w:rPr>
          <w:rFonts w:hint="eastAsia" w:cs="宋体"/>
          <w:sz w:val="21"/>
          <w:szCs w:val="21"/>
          <w:highlight w:val="none"/>
          <w:u w:val="none"/>
          <w:lang w:val="en-US" w:eastAsia="zh-CN"/>
        </w:rPr>
      </w:pPr>
      <w:r>
        <w:rPr>
          <w:rFonts w:hint="eastAsia" w:cs="宋体"/>
          <w:sz w:val="21"/>
          <w:szCs w:val="21"/>
          <w:highlight w:val="none"/>
          <w:u w:val="none"/>
          <w:lang w:val="en-US" w:eastAsia="zh-CN"/>
        </w:rPr>
        <w:t xml:space="preserve">7.3验收要求：</w:t>
      </w:r>
      <w:r/>
    </w:p>
    <w:p>
      <w:pPr>
        <w:pStyle w:val="1010"/>
        <w:ind w:firstLine="420"/>
        <w:keepLines w:val="0"/>
        <w:keepNext w:val="0"/>
        <w:pageBreakBefore w:val="0"/>
        <w:spacing w:line="360" w:lineRule="auto"/>
        <w:widowControl w:val="off"/>
        <w:rPr>
          <w:rFonts w:hint="eastAsia" w:cs="宋体"/>
          <w:sz w:val="21"/>
          <w:szCs w:val="21"/>
          <w:highlight w:val="none"/>
          <w:u w:val="none"/>
          <w:lang w:val="en-US" w:eastAsia="zh-CN"/>
        </w:rPr>
      </w:pPr>
      <w:r>
        <w:rPr>
          <w:rFonts w:hint="eastAsia" w:cs="宋体"/>
          <w:sz w:val="21"/>
          <w:szCs w:val="21"/>
          <w:highlight w:val="none"/>
          <w:u w:val="none"/>
          <w:lang w:val="en-US" w:eastAsia="zh-CN"/>
        </w:rPr>
        <w:t xml:space="preserve">乙方必须严格按照投标时所投产品品牌进行供货，提供货物绝不低于招标文件规定的规格和材质要求，如果甲方发现一件产品不符合国家标准及采购文件要求，乙方需无条件退货，且甲方有权终止合同，并保留追究乙方责任的权利。</w:t>
      </w:r>
      <w:r/>
    </w:p>
    <w:p>
      <w:pPr>
        <w:pStyle w:val="1010"/>
        <w:ind w:firstLine="420"/>
        <w:keepLines w:val="0"/>
        <w:keepNext w:val="0"/>
        <w:pageBreakBefore w:val="0"/>
        <w:spacing w:line="360" w:lineRule="auto"/>
        <w:widowControl w:val="off"/>
        <w:rPr>
          <w:rFonts w:hint="eastAsia" w:cs="宋体"/>
          <w:sz w:val="21"/>
          <w:szCs w:val="21"/>
          <w:highlight w:val="none"/>
          <w:u w:val="none"/>
          <w:lang w:val="en-US" w:eastAsia="zh-CN"/>
        </w:rPr>
      </w:pPr>
      <w:r>
        <w:rPr>
          <w:rFonts w:hint="eastAsia" w:cs="宋体"/>
          <w:sz w:val="21"/>
          <w:szCs w:val="21"/>
          <w:highlight w:val="none"/>
          <w:u w:val="none"/>
          <w:lang w:val="en-US" w:eastAsia="zh-CN"/>
        </w:rPr>
        <w:t xml:space="preserve">在交货时必须原包装现场拆封验收。甲方有权邀请相关质检部门和专家进行现场抽检（对乙方的产品按不超过合同总金额5%的比例进行随机抽检），并出具书面检验报告，相关检测费用及专家费用等由乙方承担，甲方不再另行支付，若乙方未予支付的，将在履约保证金中扣除。甲方及甲方指定质检部门和专家如对供货产品进行破坏性检测，乙方必须无偿补全对应产品。</w:t>
      </w:r>
      <w:r/>
    </w:p>
    <w:p>
      <w:pPr>
        <w:pStyle w:val="1010"/>
        <w:ind w:firstLine="420"/>
        <w:keepLines w:val="0"/>
        <w:keepNext w:val="0"/>
        <w:pageBreakBefore w:val="0"/>
        <w:spacing w:line="360" w:lineRule="auto"/>
        <w:widowControl w:val="off"/>
        <w:rPr>
          <w:rFonts w:hint="eastAsia" w:cs="宋体"/>
          <w:sz w:val="21"/>
          <w:szCs w:val="21"/>
          <w:highlight w:val="none"/>
          <w:u w:val="none"/>
          <w:lang w:val="en-US" w:eastAsia="zh-CN"/>
        </w:rPr>
      </w:pPr>
      <w:r>
        <w:rPr>
          <w:rFonts w:hint="eastAsia" w:cs="宋体"/>
          <w:sz w:val="21"/>
          <w:szCs w:val="21"/>
          <w:highlight w:val="none"/>
          <w:u w:val="none"/>
          <w:lang w:val="en-US" w:eastAsia="zh-CN"/>
        </w:rPr>
        <w:t xml:space="preserve">若检验检测合格，甲方组织整个项目的验收，由甲方与乙方双方共同对标的物的数量、规格、外观、质量、性能、随机备件备品、装箱单、随机资料、包装等进行详细而全面的检验。验收合格后，甲方签收送货回单，并将《政府采购合同履行验收报告》盖章签名。履行验收报告作为甲方验收的依据，但不作为有关标的物质量、规格或性能的最终检验结果。</w:t>
      </w:r>
      <w:r/>
    </w:p>
    <w:p>
      <w:pPr>
        <w:pStyle w:val="1010"/>
        <w:ind w:firstLine="420"/>
        <w:keepLines w:val="0"/>
        <w:keepNext w:val="0"/>
        <w:pageBreakBefore w:val="0"/>
        <w:spacing w:line="360" w:lineRule="auto"/>
        <w:widowControl w:val="off"/>
        <w:rPr>
          <w:rFonts w:hint="eastAsia" w:cs="宋体"/>
          <w:sz w:val="21"/>
          <w:szCs w:val="21"/>
          <w:highlight w:val="none"/>
          <w:u w:val="none"/>
          <w:lang w:val="en-US" w:eastAsia="zh-CN"/>
        </w:rPr>
      </w:pPr>
      <w:r>
        <w:rPr>
          <w:rFonts w:hint="eastAsia" w:cs="宋体"/>
          <w:sz w:val="21"/>
          <w:szCs w:val="21"/>
          <w:highlight w:val="none"/>
          <w:u w:val="none"/>
          <w:lang w:val="en-US" w:eastAsia="zh-CN"/>
        </w:rPr>
        <w:t xml:space="preserve">验收标准：乙方提供的货物必须符合我国最新颁布的与之相关的技术规范与标准，同时必须满足招标文件中所列规格、具体配置、技术条件及功能要求和乙方承诺的其它指标。</w:t>
      </w:r>
      <w:r/>
    </w:p>
    <w:p>
      <w:pPr>
        <w:pStyle w:val="1010"/>
        <w:ind w:firstLine="420"/>
        <w:keepLines w:val="0"/>
        <w:keepNext w:val="0"/>
        <w:pageBreakBefore w:val="0"/>
        <w:spacing w:line="360" w:lineRule="auto"/>
        <w:widowControl w:val="off"/>
        <w:rPr>
          <w:rFonts w:hint="eastAsia" w:cs="宋体"/>
          <w:sz w:val="21"/>
          <w:szCs w:val="21"/>
          <w:highlight w:val="none"/>
          <w:u w:val="none"/>
          <w:lang w:val="en-US" w:eastAsia="zh-CN"/>
        </w:rPr>
      </w:pPr>
      <w:r>
        <w:rPr>
          <w:rFonts w:hint="eastAsia" w:cs="宋体"/>
          <w:sz w:val="21"/>
          <w:szCs w:val="21"/>
          <w:highlight w:val="none"/>
          <w:u w:val="none"/>
          <w:lang w:val="en-US" w:eastAsia="zh-CN"/>
        </w:rPr>
        <w:t xml:space="preserve">在质保期内，如果标的物的数量、质量或规格与合同不符或证实标的物是具有缺陷的，包括潜在缺陷或使用不符合要求的材料等，甲方将以书面形式通知乙方并提出索赔。</w:t>
      </w:r>
      <w:r/>
    </w:p>
    <w:p>
      <w:pPr>
        <w:pStyle w:val="1010"/>
        <w:ind w:firstLine="420"/>
        <w:keepLines w:val="0"/>
        <w:keepNext w:val="0"/>
        <w:pageBreakBefore w:val="0"/>
        <w:spacing w:line="360" w:lineRule="auto"/>
        <w:widowControl w:val="off"/>
        <w:rPr>
          <w:rFonts w:hint="eastAsia" w:cs="宋体"/>
          <w:sz w:val="21"/>
          <w:szCs w:val="21"/>
          <w:highlight w:val="none"/>
          <w:u w:val="none"/>
          <w:lang w:val="en-US" w:eastAsia="zh-CN"/>
        </w:rPr>
      </w:pPr>
      <w:r>
        <w:rPr>
          <w:rFonts w:hint="eastAsia" w:cs="宋体"/>
          <w:sz w:val="21"/>
          <w:szCs w:val="21"/>
          <w:highlight w:val="none"/>
          <w:u w:val="none"/>
          <w:lang w:val="en-US" w:eastAsia="zh-CN"/>
        </w:rPr>
        <w:t xml:space="preserve">验收期限在交货结束30个工作日内进行。特殊情况需延长的，双方应特别约定。</w:t>
      </w:r>
      <w:r/>
    </w:p>
    <w:p>
      <w:pPr>
        <w:pStyle w:val="1010"/>
        <w:ind w:firstLine="420"/>
        <w:keepLines w:val="0"/>
        <w:keepNext w:val="0"/>
        <w:pageBreakBefore w:val="0"/>
        <w:spacing w:line="360" w:lineRule="auto"/>
        <w:widowControl w:val="off"/>
        <w:rPr>
          <w:rFonts w:hint="default" w:cs="宋体"/>
          <w:sz w:val="21"/>
          <w:szCs w:val="21"/>
          <w:highlight w:val="none"/>
          <w:u w:val="none"/>
          <w:lang w:val="en-US" w:eastAsia="zh-CN"/>
        </w:rPr>
      </w:pPr>
      <w:r>
        <w:rPr>
          <w:rFonts w:hint="eastAsia" w:cs="宋体"/>
          <w:sz w:val="21"/>
          <w:szCs w:val="21"/>
          <w:highlight w:val="none"/>
          <w:u w:val="none"/>
          <w:lang w:val="en-US" w:eastAsia="zh-CN"/>
        </w:rPr>
        <w:t xml:space="preserve">验收结果经双方确认后，双方代表须按规定的验收项目填好《政府采购合同履行验收报告》并盖章签名。履行验收报告作为最终付款所需文件的组成部分。如双方对验收结果有分歧，则以苏州市产品质量监督检验所的检验结果为准，检验费由有过失的一方支付。</w:t>
      </w:r>
      <w:r/>
    </w:p>
    <w:p>
      <w:pPr>
        <w:pStyle w:val="1010"/>
        <w:ind w:firstLine="420"/>
        <w:keepLines w:val="0"/>
        <w:keepNext w:val="0"/>
        <w:pageBreakBefore w:val="0"/>
        <w:spacing w:line="360" w:lineRule="auto"/>
        <w:widowControl w:val="off"/>
        <w:rPr>
          <w:rFonts w:hint="eastAsia" w:cs="宋体"/>
          <w:sz w:val="21"/>
          <w:szCs w:val="21"/>
          <w:highlight w:val="none"/>
          <w:u w:val="none"/>
          <w:lang w:val="en-US" w:eastAsia="zh-CN"/>
        </w:rPr>
      </w:pPr>
      <w:r>
        <w:rPr>
          <w:rFonts w:hint="eastAsia" w:cs="宋体"/>
          <w:sz w:val="21"/>
          <w:szCs w:val="21"/>
          <w:highlight w:val="none"/>
          <w:u w:val="none"/>
          <w:lang w:val="en-US" w:eastAsia="zh-CN"/>
        </w:rPr>
        <w:t xml:space="preserve">7.凡涉及招标文件的补充说明和修改，均以招标代理机构发布的通知为准。</w:t>
      </w:r>
      <w:r/>
    </w:p>
    <w:p>
      <w:pPr>
        <w:pStyle w:val="1010"/>
        <w:ind w:firstLine="420"/>
        <w:keepLines w:val="0"/>
        <w:keepNext w:val="0"/>
        <w:pageBreakBefore w:val="0"/>
        <w:spacing w:line="360" w:lineRule="auto"/>
        <w:widowControl w:val="off"/>
        <w:rPr>
          <w:rFonts w:hint="eastAsia" w:cs="宋体"/>
          <w:sz w:val="21"/>
          <w:szCs w:val="21"/>
          <w:highlight w:val="none"/>
          <w:u w:val="none"/>
          <w:lang w:val="en-US" w:eastAsia="zh-CN"/>
        </w:rPr>
      </w:pPr>
      <w:r>
        <w:rPr>
          <w:rFonts w:hint="eastAsia" w:cs="宋体"/>
          <w:sz w:val="21"/>
          <w:szCs w:val="21"/>
          <w:highlight w:val="none"/>
          <w:u w:val="none"/>
          <w:lang w:val="en-US" w:eastAsia="zh-CN"/>
        </w:rPr>
        <w:t xml:space="preserve">8.知识产权：供方应保证采购人免除且供方承担由于采购人在其本国使用该设备或设备任何一部分时而引起第三方提出的侵犯专利权、商标权或工业设计权的起诉、行动、行政程序索赔、请求等以及采购人为此而产生的损失和损害、费用和支出（包括律师费）。</w:t>
      </w:r>
      <w:r/>
    </w:p>
    <w:p>
      <w:pPr>
        <w:pStyle w:val="1010"/>
        <w:ind w:firstLine="422"/>
        <w:keepLines w:val="0"/>
        <w:keepNext w:val="0"/>
        <w:pageBreakBefore w:val="0"/>
        <w:spacing w:line="360" w:lineRule="auto"/>
        <w:widowControl w:val="off"/>
        <w:rPr>
          <w:rFonts w:hint="default" w:ascii="宋体" w:hAnsi="宋体" w:eastAsia="宋体" w:cs="宋体"/>
          <w:b/>
          <w:bCs w:val="0"/>
          <w:sz w:val="21"/>
          <w:szCs w:val="21"/>
          <w:highlight w:val="none"/>
          <w:u w:val="none"/>
          <w:lang w:val="en-US" w:eastAsia="zh-CN"/>
        </w:rPr>
      </w:pPr>
      <w:r>
        <w:rPr>
          <w:rFonts w:hint="eastAsia" w:cs="宋体"/>
          <w:b/>
          <w:bCs w:val="0"/>
          <w:sz w:val="21"/>
          <w:szCs w:val="21"/>
          <w:highlight w:val="none"/>
          <w:u w:val="none"/>
          <w:lang w:val="en-US" w:eastAsia="zh-CN"/>
        </w:rPr>
        <w:t xml:space="preserve">五、政策执行：</w:t>
      </w:r>
      <w:r/>
    </w:p>
    <w:p>
      <w:pPr>
        <w:pStyle w:val="1010"/>
        <w:ind w:firstLine="420"/>
        <w:keepLines w:val="0"/>
        <w:keepNext w:val="0"/>
        <w:pageBreakBefore w:val="0"/>
        <w:spacing w:line="360"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1</w:t>
      </w:r>
      <w:r>
        <w:rPr>
          <w:rFonts w:hint="eastAsia" w:cs="宋体"/>
          <w:sz w:val="21"/>
          <w:szCs w:val="21"/>
          <w:highlight w:val="none"/>
          <w:u w:val="none"/>
          <w:lang w:val="en-US" w:eastAsia="zh-CN"/>
        </w:rPr>
        <w:t xml:space="preserve">.</w:t>
      </w:r>
      <w:r>
        <w:rPr>
          <w:rFonts w:hint="eastAsia" w:ascii="宋体" w:hAnsi="宋体" w:eastAsia="宋体" w:cs="宋体"/>
          <w:sz w:val="21"/>
          <w:szCs w:val="21"/>
          <w:highlight w:val="none"/>
          <w:u w:val="none"/>
          <w:lang w:val="en-US" w:eastAsia="zh-CN"/>
        </w:rPr>
        <w:t xml:space="preserve">本次招标均不接受进口产品投标。进口产品的定义为：指通过中国海关报关验收进入中国境内且产自境外的产品，具体按照苏财购〔2008〕14号江苏省财政厅转发财政部办公厅关于政府采购进口产品管理有关问题的通知的规定。</w:t>
      </w:r>
      <w:r/>
    </w:p>
    <w:p>
      <w:pPr>
        <w:pStyle w:val="1010"/>
        <w:ind w:firstLine="420"/>
        <w:keepLines w:val="0"/>
        <w:keepNext w:val="0"/>
        <w:pageBreakBefore w:val="0"/>
        <w:spacing w:line="360"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2</w:t>
      </w:r>
      <w:r>
        <w:rPr>
          <w:rFonts w:hint="eastAsia" w:cs="宋体"/>
          <w:sz w:val="21"/>
          <w:szCs w:val="21"/>
          <w:highlight w:val="none"/>
          <w:u w:val="none"/>
          <w:lang w:val="en-US" w:eastAsia="zh-CN"/>
        </w:rPr>
        <w:t xml:space="preserve">.</w:t>
      </w:r>
      <w:r>
        <w:rPr>
          <w:rFonts w:hint="eastAsia" w:ascii="宋体" w:hAnsi="宋体" w:eastAsia="宋体" w:cs="宋体"/>
          <w:sz w:val="21"/>
          <w:szCs w:val="21"/>
          <w:highlight w:val="none"/>
          <w:u w:val="none"/>
          <w:lang w:val="en-US" w:eastAsia="zh-CN"/>
        </w:rPr>
        <w:t xml:space="preserve">中、小、微企业（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pStyle w:val="1010"/>
        <w:ind w:firstLine="420"/>
        <w:keepLines w:val="0"/>
        <w:keepNext w:val="0"/>
        <w:pageBreakBefore w:val="0"/>
        <w:spacing w:line="360"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根据《政府采购促进中小企业发展管理办法》（财库〔2020〕46号）、《关于做好政府采购支持企业发展有关事项的通知》（苏财购〔2020〕52号）及《关于印</w:t>
      </w:r>
      <w:r>
        <w:rPr>
          <w:rFonts w:hint="eastAsia" w:ascii="宋体" w:hAnsi="宋体" w:eastAsia="宋体" w:cs="宋体"/>
          <w:sz w:val="21"/>
          <w:szCs w:val="21"/>
          <w:highlight w:val="none"/>
          <w:u w:val="none"/>
          <w:lang w:val="en-US" w:eastAsia="zh-CN"/>
        </w:rPr>
        <w:t xml:space="preserve">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和微型企业的投标报价扣除20%后参与评审。《中小企业声明函》中所填的行业应与本采购标的对应的中小企业划分标准所属行业一致，未提交声明函或所提交的声明函中行业与本采购标的对应的中小企业划分标准所属行业不一致不享受相关政策。</w:t>
      </w:r>
      <w:r/>
    </w:p>
    <w:p>
      <w:pPr>
        <w:pStyle w:val="1010"/>
        <w:ind w:firstLine="420"/>
        <w:keepLines w:val="0"/>
        <w:keepNext w:val="0"/>
        <w:pageBreakBefore w:val="0"/>
        <w:spacing w:line="360"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w:t>
      </w:r>
      <w:r/>
    </w:p>
    <w:p>
      <w:pPr>
        <w:pStyle w:val="1010"/>
        <w:ind w:firstLine="420"/>
        <w:keepLines w:val="0"/>
        <w:keepNext w:val="0"/>
        <w:pageBreakBefore w:val="0"/>
        <w:spacing w:line="360"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根据《政府采购促进中小企业发展管理办法》（财库〔2020〕46号）及《中小企业划型标准规定》（工信部联企业〔2011〕300号），本采购项目对应的中小企业划分标准所属行业为：工业。</w:t>
      </w:r>
      <w:r/>
    </w:p>
    <w:p>
      <w:pPr>
        <w:pStyle w:val="1010"/>
        <w:ind w:firstLine="420"/>
        <w:keepLines w:val="0"/>
        <w:keepNext w:val="0"/>
        <w:pageBreakBefore w:val="0"/>
        <w:spacing w:line="360"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3</w:t>
      </w:r>
      <w:r>
        <w:rPr>
          <w:rFonts w:hint="eastAsia" w:cs="宋体"/>
          <w:sz w:val="21"/>
          <w:szCs w:val="21"/>
          <w:highlight w:val="none"/>
          <w:u w:val="none"/>
          <w:lang w:val="en-US" w:eastAsia="zh-CN"/>
        </w:rPr>
        <w:t xml:space="preserve">.</w:t>
      </w:r>
      <w:r>
        <w:rPr>
          <w:rFonts w:hint="eastAsia" w:ascii="宋体" w:hAnsi="宋体" w:eastAsia="宋体" w:cs="宋体"/>
          <w:sz w:val="21"/>
          <w:szCs w:val="21"/>
          <w:highlight w:val="none"/>
          <w:u w:val="none"/>
          <w:lang w:val="en-US" w:eastAsia="zh-CN"/>
        </w:rPr>
        <w:t xml:space="preserve">残疾人福利性单位（若为专门面向中小企业采购的项目或者采购包，不再执行价格评审优惠的扶持政策）</w:t>
      </w:r>
      <w:r/>
    </w:p>
    <w:p>
      <w:pPr>
        <w:pStyle w:val="1010"/>
        <w:ind w:firstLine="420"/>
        <w:keepLines w:val="0"/>
        <w:keepNext w:val="0"/>
        <w:pageBreakBefore w:val="0"/>
        <w:spacing w:line="360"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pStyle w:val="1010"/>
        <w:ind w:firstLine="420"/>
        <w:keepLines w:val="0"/>
        <w:keepNext w:val="0"/>
        <w:pageBreakBefore w:val="0"/>
        <w:spacing w:line="360"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4</w:t>
      </w:r>
      <w:r>
        <w:rPr>
          <w:rFonts w:hint="eastAsia" w:cs="宋体"/>
          <w:sz w:val="21"/>
          <w:szCs w:val="21"/>
          <w:highlight w:val="none"/>
          <w:u w:val="none"/>
          <w:lang w:val="en-US" w:eastAsia="zh-CN"/>
        </w:rPr>
        <w:t xml:space="preserve">.</w:t>
      </w:r>
      <w:r>
        <w:rPr>
          <w:rFonts w:hint="eastAsia" w:ascii="宋体" w:hAnsi="宋体" w:eastAsia="宋体" w:cs="宋体"/>
          <w:sz w:val="21"/>
          <w:szCs w:val="21"/>
          <w:highlight w:val="none"/>
          <w:u w:val="none"/>
          <w:lang w:val="en-US" w:eastAsia="zh-CN"/>
        </w:rPr>
        <w:t xml:space="preserve">监狱企业（若为专门面向中小企业采购的项目或者采购包，不再执行价格评审优惠的扶持政策）</w:t>
      </w:r>
      <w:r/>
    </w:p>
    <w:p>
      <w:pPr>
        <w:pStyle w:val="1010"/>
        <w:ind w:firstLine="420"/>
        <w:keepLines w:val="0"/>
        <w:keepNext w:val="0"/>
        <w:pageBreakBefore w:val="0"/>
        <w:spacing w:line="360"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pStyle w:val="1010"/>
        <w:ind w:firstLine="420"/>
        <w:keepLines w:val="0"/>
        <w:keepNext w:val="0"/>
        <w:pageBreakBefore w:val="0"/>
        <w:spacing w:line="360"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5</w:t>
      </w:r>
      <w:r>
        <w:rPr>
          <w:rFonts w:hint="eastAsia" w:cs="宋体"/>
          <w:sz w:val="21"/>
          <w:szCs w:val="21"/>
          <w:highlight w:val="none"/>
          <w:u w:val="none"/>
          <w:lang w:val="en-US" w:eastAsia="zh-CN"/>
        </w:rPr>
        <w:t xml:space="preserve">.</w:t>
      </w:r>
      <w:r>
        <w:rPr>
          <w:rFonts w:hint="eastAsia" w:ascii="宋体" w:hAnsi="宋体" w:eastAsia="宋体" w:cs="宋体"/>
          <w:sz w:val="21"/>
          <w:szCs w:val="21"/>
          <w:highlight w:val="none"/>
          <w:u w:val="none"/>
          <w:lang w:val="en-US" w:eastAsia="zh-CN"/>
        </w:rPr>
        <w:t xml:space="preserve">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pStyle w:val="1010"/>
        <w:ind w:firstLine="420"/>
        <w:keepLines w:val="0"/>
        <w:keepNext w:val="0"/>
        <w:pageBreakBefore w:val="0"/>
        <w:spacing w:line="360"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6</w:t>
      </w:r>
      <w:r>
        <w:rPr>
          <w:rFonts w:hint="eastAsia" w:cs="宋体"/>
          <w:sz w:val="21"/>
          <w:szCs w:val="21"/>
          <w:highlight w:val="none"/>
          <w:u w:val="none"/>
          <w:lang w:val="en-US" w:eastAsia="zh-CN"/>
        </w:rPr>
        <w:t xml:space="preserve">.</w:t>
      </w:r>
      <w:r>
        <w:rPr>
          <w:rFonts w:hint="eastAsia" w:ascii="宋体" w:hAnsi="宋体" w:eastAsia="宋体" w:cs="宋体"/>
          <w:sz w:val="21"/>
          <w:szCs w:val="21"/>
          <w:highlight w:val="none"/>
          <w:u w:val="none"/>
          <w:lang w:val="en-US" w:eastAsia="zh-CN"/>
        </w:rPr>
        <w:t xml:space="preserve">绿色采购</w:t>
      </w:r>
      <w:r/>
    </w:p>
    <w:p>
      <w:pPr>
        <w:pStyle w:val="1010"/>
        <w:ind w:firstLine="420"/>
        <w:keepLines w:val="0"/>
        <w:keepNext w:val="0"/>
        <w:pageBreakBefore w:val="0"/>
        <w:spacing w:line="360"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pStyle w:val="1010"/>
        <w:ind w:firstLine="420"/>
        <w:keepLines w:val="0"/>
        <w:keepNext w:val="0"/>
        <w:pageBreakBefore w:val="0"/>
        <w:spacing w:line="360"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pStyle w:val="1010"/>
        <w:ind w:firstLine="420"/>
        <w:keepLines w:val="0"/>
        <w:keepNext w:val="0"/>
        <w:pageBreakBefore w:val="0"/>
        <w:spacing w:line="360"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1010"/>
        <w:ind w:firstLine="420"/>
        <w:keepLines w:val="0"/>
        <w:keepNext w:val="0"/>
        <w:pageBreakBefore w:val="0"/>
        <w:spacing w:line="360"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7</w:t>
      </w:r>
      <w:r>
        <w:rPr>
          <w:rFonts w:hint="eastAsia" w:cs="宋体"/>
          <w:sz w:val="21"/>
          <w:szCs w:val="21"/>
          <w:highlight w:val="none"/>
          <w:u w:val="none"/>
          <w:lang w:val="en-US" w:eastAsia="zh-CN"/>
        </w:rPr>
        <w:t xml:space="preserve">.</w:t>
      </w:r>
      <w:r>
        <w:rPr>
          <w:rFonts w:hint="eastAsia" w:ascii="宋体" w:hAnsi="宋体" w:eastAsia="宋体" w:cs="宋体"/>
          <w:sz w:val="21"/>
          <w:szCs w:val="21"/>
          <w:highlight w:val="none"/>
          <w:u w:val="none"/>
          <w:lang w:val="en-US" w:eastAsia="zh-CN"/>
        </w:rPr>
        <w:t xml:space="preserve">异常低价审查</w:t>
      </w:r>
      <w:r/>
    </w:p>
    <w:p>
      <w:pPr>
        <w:pStyle w:val="1010"/>
        <w:ind w:firstLine="420"/>
        <w:keepLines w:val="0"/>
        <w:keepNext w:val="0"/>
        <w:pageBreakBefore w:val="0"/>
        <w:spacing w:line="360"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（一）按照财政部发布的《关于推动解决政府采购异常低价问题的通知》（财库〔2026〕2号）文，政府采购评审中出现下列情形之一的，评审委员会应当启动异常低价投标（响应）审查程序：</w:t>
      </w:r>
      <w:r/>
    </w:p>
    <w:p>
      <w:pPr>
        <w:pStyle w:val="1010"/>
        <w:ind w:firstLine="420"/>
        <w:keepLines w:val="0"/>
        <w:keepNext w:val="0"/>
        <w:pageBreakBefore w:val="0"/>
        <w:spacing w:line="360"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A、评审过程中出现下列情形之一的，评审委员会应当启动异常低价投标（响应）审查程序：</w:t>
      </w:r>
      <w:r/>
    </w:p>
    <w:p>
      <w:pPr>
        <w:pStyle w:val="1010"/>
        <w:ind w:firstLine="420"/>
        <w:keepLines w:val="0"/>
        <w:keepNext w:val="0"/>
        <w:pageBreakBefore w:val="0"/>
        <w:spacing w:line="360"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1.投标（响应）报价低于全部通过符合性审查供应商投标（响应）报价平均值65%的，即投标（响应）报价&lt;全部通过符合性审查供应商投标（响应）报价平均值×65%；</w:t>
      </w:r>
      <w:r/>
    </w:p>
    <w:p>
      <w:pPr>
        <w:pStyle w:val="1010"/>
        <w:ind w:firstLine="420"/>
        <w:keepLines w:val="0"/>
        <w:keepNext w:val="0"/>
        <w:pageBreakBefore w:val="0"/>
        <w:spacing w:line="360"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2.投标（响应）报价低于通过符合性审查的次低报价供应商投标（响应）报价65%的，即投标（响应）报价&lt;通过符合性审查的次低报价供应商投标（响应）报价×65%；</w:t>
      </w:r>
      <w:r/>
    </w:p>
    <w:p>
      <w:pPr>
        <w:pStyle w:val="1010"/>
        <w:ind w:firstLine="420"/>
        <w:keepLines w:val="0"/>
        <w:keepNext w:val="0"/>
        <w:pageBreakBefore w:val="0"/>
        <w:spacing w:line="360"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3.投标（响应）报价低于采购项目最高限价65%的，即投标（响应）报价&lt;采购项目最高限价×65%；</w:t>
      </w:r>
      <w:r/>
    </w:p>
    <w:p>
      <w:pPr>
        <w:pStyle w:val="1010"/>
        <w:ind w:firstLine="420"/>
        <w:keepLines w:val="0"/>
        <w:keepNext w:val="0"/>
        <w:pageBreakBefore w:val="0"/>
        <w:spacing w:line="360"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4.评审委员会基于专业判断，认为供应商报价过低，有可能影响产品质量或者不能诚信履约的其他情形。</w:t>
      </w:r>
      <w:r/>
    </w:p>
    <w:p>
      <w:pPr>
        <w:pStyle w:val="1010"/>
        <w:ind w:firstLine="420"/>
        <w:keepLines w:val="0"/>
        <w:keepNext w:val="0"/>
        <w:pageBreakBefore w:val="0"/>
        <w:spacing w:line="360"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010"/>
        <w:ind w:firstLine="420"/>
        <w:keepLines w:val="0"/>
        <w:keepNext w:val="0"/>
        <w:pageBreakBefore w:val="0"/>
        <w:spacing w:line="360"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B、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010"/>
        <w:ind w:firstLine="420"/>
        <w:keepLines w:val="0"/>
        <w:keepNext w:val="0"/>
        <w:pageBreakBefore w:val="0"/>
        <w:spacing w:line="360"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8</w:t>
      </w:r>
      <w:r>
        <w:rPr>
          <w:rFonts w:hint="eastAsia" w:cs="宋体"/>
          <w:sz w:val="21"/>
          <w:szCs w:val="21"/>
          <w:highlight w:val="none"/>
          <w:u w:val="none"/>
          <w:lang w:val="en-US" w:eastAsia="zh-CN"/>
        </w:rPr>
        <w:t xml:space="preserve">.</w:t>
      </w:r>
      <w:r>
        <w:rPr>
          <w:rFonts w:hint="eastAsia" w:ascii="宋体" w:hAnsi="宋体" w:eastAsia="宋体" w:cs="宋体"/>
          <w:sz w:val="21"/>
          <w:szCs w:val="21"/>
          <w:highlight w:val="none"/>
          <w:u w:val="none"/>
          <w:lang w:val="en-US" w:eastAsia="zh-CN"/>
        </w:rPr>
        <w:t xml:space="preserve">政府采购中实施本国产品标准及相关政策</w:t>
      </w:r>
      <w:r>
        <w:rPr>
          <w:rFonts w:hint="eastAsia" w:cs="宋体"/>
          <w:sz w:val="21"/>
          <w:szCs w:val="21"/>
          <w:highlight w:val="none"/>
          <w:u w:val="none"/>
          <w:lang w:val="en-US" w:eastAsia="zh-CN"/>
        </w:rPr>
        <w:t xml:space="preserve">：</w:t>
      </w:r>
      <w:r/>
    </w:p>
    <w:p>
      <w:pPr>
        <w:pStyle w:val="1010"/>
        <w:ind w:firstLine="420"/>
        <w:keepLines w:val="0"/>
        <w:keepNext w:val="0"/>
        <w:pageBreakBefore w:val="0"/>
        <w:spacing w:line="360"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8.1本项目对采购本国产品给予政策支持：</w:t>
      </w:r>
      <w:r/>
    </w:p>
    <w:p>
      <w:pPr>
        <w:pStyle w:val="1010"/>
        <w:ind w:firstLine="420"/>
        <w:keepLines w:val="0"/>
        <w:keepNext w:val="0"/>
        <w:pageBreakBefore w:val="0"/>
        <w:spacing w:line="360"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（1）本项目政府采购活动中既有本国产品又有非本国产品参与竞争的，依法对本国产品给予价格评审优惠，对本国产品的报价给予20%的价格扣除，用扣除后的价格参与评审。</w:t>
      </w:r>
      <w:r/>
    </w:p>
    <w:p>
      <w:pPr>
        <w:pStyle w:val="1010"/>
        <w:ind w:firstLine="420"/>
        <w:keepLines w:val="0"/>
        <w:keepNext w:val="0"/>
        <w:pageBreakBefore w:val="0"/>
        <w:spacing w:line="360"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附件：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010"/>
        <w:ind w:firstLine="420"/>
        <w:keepLines w:val="0"/>
        <w:keepNext w:val="0"/>
        <w:pageBreakBefore w:val="0"/>
        <w:spacing w:line="360"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（3）供应商需按照招标文件的要求提供《关于符合</w:t>
      </w:r>
      <w:bookmarkStart w:id="27" w:name="_GoBack"/>
      <w:r>
        <w:rPr>
          <w:rFonts w:hint="eastAsia" w:ascii="宋体" w:hAnsi="宋体" w:eastAsia="宋体" w:cs="宋体"/>
          <w:sz w:val="21"/>
          <w:szCs w:val="21"/>
          <w:highlight w:val="none"/>
          <w:u w:val="none"/>
          <w:lang w:val="en-US" w:eastAsia="zh-CN"/>
        </w:rPr>
        <w:t xml:space="preserve">本国产品标准的声明函</w:t>
      </w:r>
      <w:bookmarkEnd w:id="27"/>
      <w:r>
        <w:rPr>
          <w:rFonts w:hint="eastAsia" w:ascii="宋体" w:hAnsi="宋体" w:eastAsia="宋体" w:cs="宋体"/>
          <w:sz w:val="21"/>
          <w:szCs w:val="21"/>
          <w:highlight w:val="none"/>
          <w:u w:val="none"/>
          <w:lang w:val="en-US" w:eastAsia="zh-CN"/>
        </w:rPr>
        <w:t xml:space="preserve">》（以下简称《声明函》），如不提供将不享受本国产品价格评审优惠。</w:t>
      </w:r>
      <w:r/>
    </w:p>
    <w:p>
      <w:pPr>
        <w:pStyle w:val="1010"/>
        <w:ind w:firstLine="420"/>
        <w:keepLines w:val="0"/>
        <w:keepNext w:val="0"/>
        <w:pageBreakBefore w:val="0"/>
        <w:spacing w:line="360"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010"/>
        <w:ind w:firstLine="420"/>
        <w:keepLines w:val="0"/>
        <w:keepNext w:val="0"/>
        <w:pageBreakBefore w:val="0"/>
        <w:spacing w:line="360"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10"/>
        <w:ind w:firstLine="420"/>
        <w:keepLines w:val="0"/>
        <w:keepNext w:val="0"/>
        <w:pageBreakBefore w:val="0"/>
        <w:spacing w:line="360"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8.2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010"/>
        <w:ind w:firstLine="420"/>
        <w:keepLines w:val="0"/>
        <w:keepNext w:val="0"/>
        <w:pageBreakBefore w:val="0"/>
        <w:spacing w:line="360"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010"/>
        <w:ind w:firstLine="420"/>
        <w:keepLines w:val="0"/>
        <w:keepNext w:val="0"/>
        <w:pageBreakBefore w:val="0"/>
        <w:spacing w:line="360"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r>
      <w:r/>
    </w:p>
    <w:p>
      <w:pPr>
        <w:pStyle w:val="1010"/>
        <w:ind w:firstLine="420"/>
        <w:keepLines w:val="0"/>
        <w:keepNext w:val="0"/>
        <w:pageBreakBefore w:val="0"/>
        <w:spacing w:line="360"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r>
      <w:r/>
    </w:p>
    <w:p>
      <w:pPr>
        <w:pStyle w:val="1010"/>
        <w:ind w:firstLine="420"/>
        <w:keepLines w:val="0"/>
        <w:keepNext w:val="0"/>
        <w:pageBreakBefore w:val="0"/>
        <w:spacing w:line="360"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r>
      <w:r/>
    </w:p>
    <w:p>
      <w:pPr>
        <w:pStyle w:val="1010"/>
        <w:ind w:firstLine="420"/>
        <w:keepLines w:val="0"/>
        <w:keepNext w:val="0"/>
        <w:pageBreakBefore w:val="0"/>
        <w:spacing w:line="360"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r>
      <w:r/>
    </w:p>
    <w:p>
      <w:pPr>
        <w:pStyle w:val="1010"/>
        <w:ind w:firstLine="420"/>
        <w:keepLines w:val="0"/>
        <w:keepNext w:val="0"/>
        <w:pageBreakBefore w:val="0"/>
        <w:spacing w:line="360"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r>
      <w:r/>
    </w:p>
    <w:p>
      <w:pPr>
        <w:pStyle w:val="1010"/>
        <w:ind w:firstLine="420"/>
        <w:keepLines w:val="0"/>
        <w:keepNext w:val="0"/>
        <w:pageBreakBefore w:val="0"/>
        <w:spacing w:line="360"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r>
      <w:r/>
    </w:p>
    <w:p>
      <w:pPr>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rPr>
          <w:rFonts w:hint="eastAsia" w:ascii="宋体" w:hAnsi="宋体" w:eastAsia="宋体" w:cs="宋体"/>
          <w:highlight w:val="none"/>
        </w:rPr>
      </w:pPr>
      <w:r>
        <w:rPr>
          <w:rFonts w:hint="eastAsia" w:ascii="宋体" w:hAnsi="宋体" w:eastAsia="宋体" w:cs="宋体"/>
          <w:highlight w:val="none"/>
        </w:rPr>
      </w:r>
      <w:r/>
    </w:p>
    <w:p>
      <w:pPr>
        <w:ind w:firstLine="0"/>
        <w:jc w:val="center"/>
        <w:spacing w:line="360" w:lineRule="auto"/>
        <w:rPr>
          <w:rFonts w:hint="eastAsia" w:ascii="宋体" w:hAnsi="宋体" w:eastAsia="宋体" w:cs="宋体"/>
          <w:b/>
          <w:bCs/>
          <w:sz w:val="32"/>
          <w:szCs w:val="32"/>
          <w:highlight w:val="none"/>
        </w:rPr>
      </w:pPr>
      <w:r>
        <w:rPr>
          <w:rFonts w:hint="eastAsia" w:ascii="宋体" w:hAnsi="宋体" w:eastAsia="宋体" w:cs="宋体"/>
          <w:b/>
          <w:sz w:val="32"/>
          <w:szCs w:val="32"/>
          <w:highlight w:val="none"/>
        </w:rPr>
        <w:br w:type="page" w:clear="all"/>
      </w:r>
      <w:r>
        <w:rPr>
          <w:rFonts w:hint="eastAsia" w:ascii="宋体" w:hAnsi="宋体" w:eastAsia="宋体" w:cs="宋体"/>
          <w:b/>
          <w:sz w:val="32"/>
          <w:szCs w:val="32"/>
          <w:highlight w:val="none"/>
        </w:rPr>
        <w:t xml:space="preserve">第五章 合同主要条款</w:t>
      </w:r>
      <w:r/>
    </w:p>
    <w:p>
      <w:pPr>
        <w:jc w:val="center"/>
        <w:spacing w:line="400" w:lineRule="atLeast"/>
        <w:widowControl/>
        <w:rPr>
          <w:rFonts w:eastAsia="黑体"/>
          <w:b/>
          <w:bCs/>
          <w:sz w:val="36"/>
          <w:szCs w:val="36"/>
          <w:highlight w:val="none"/>
        </w:rPr>
      </w:pPr>
      <w:r>
        <w:rPr>
          <w:rFonts w:hint="eastAsia" w:eastAsia="黑体"/>
          <w:b/>
          <w:bCs/>
          <w:sz w:val="36"/>
          <w:szCs w:val="36"/>
          <w:highlight w:val="none"/>
        </w:rPr>
        <w:t xml:space="preserve">采 购 合 同</w:t>
      </w:r>
      <w:r/>
    </w:p>
    <w:p>
      <w:pPr>
        <w:jc w:val="right"/>
        <w:spacing w:line="400" w:lineRule="atLeast"/>
        <w:widowControl/>
        <w:rPr>
          <w:rFonts w:eastAsia="黑体"/>
          <w:b/>
          <w:bCs/>
          <w:sz w:val="24"/>
          <w:szCs w:val="24"/>
          <w:highlight w:val="none"/>
        </w:rPr>
      </w:pPr>
      <w:r>
        <w:rPr>
          <w:rFonts w:hint="eastAsia" w:ascii="宋体" w:hAnsi="宋体"/>
          <w:sz w:val="24"/>
          <w:szCs w:val="24"/>
          <w:highlight w:val="none"/>
        </w:rPr>
        <w:t xml:space="preserve">编号:</w:t>
      </w:r>
      <w:r/>
    </w:p>
    <w:p>
      <w:pPr>
        <w:spacing w:line="360" w:lineRule="auto"/>
        <w:rPr>
          <w:rFonts w:hint="eastAsia" w:ascii="宋体" w:hAnsi="宋体" w:eastAsia="宋体"/>
          <w:sz w:val="21"/>
          <w:szCs w:val="21"/>
          <w:highlight w:val="none"/>
        </w:rPr>
      </w:pPr>
      <w:r>
        <w:rPr>
          <w:rFonts w:hint="eastAsia" w:ascii="宋体" w:hAnsi="宋体" w:eastAsia="宋体"/>
          <w:sz w:val="21"/>
          <w:szCs w:val="21"/>
          <w:highlight w:val="none"/>
        </w:rPr>
      </w:r>
      <w:r/>
    </w:p>
    <w:p>
      <w:pPr>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甲方（采购单位）：                       乙方（投标响应单位）：</w:t>
      </w:r>
      <w:r/>
    </w:p>
    <w:p>
      <w:pPr>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联系人：                                联系人： </w:t>
      </w:r>
      <w:r/>
    </w:p>
    <w:p>
      <w:pPr>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联系电话：                              联系电话： </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根据《中华人民共和国政府采购法》、《中华人民共和国民法典》等相关法律法规的规定、苏州市</w:t>
      </w:r>
      <w:r>
        <w:rPr>
          <w:rFonts w:hint="eastAsia" w:ascii="宋体" w:hAnsi="宋体"/>
          <w:sz w:val="21"/>
          <w:szCs w:val="21"/>
          <w:highlight w:val="none"/>
          <w:lang w:val="en-US" w:eastAsia="zh-CN"/>
        </w:rPr>
        <w:t xml:space="preserve">天美达</w:t>
      </w:r>
      <w:r>
        <w:rPr>
          <w:rFonts w:hint="eastAsia" w:ascii="宋体" w:hAnsi="宋体" w:eastAsia="宋体"/>
          <w:sz w:val="21"/>
          <w:szCs w:val="21"/>
          <w:highlight w:val="none"/>
        </w:rPr>
        <w:t xml:space="preserve">招投标咨询服务有限公司采购编号号公开招标文件及乙方的投标文件和中标通知书,甲乙双方就此次中标的</w:t>
      </w:r>
      <w:r>
        <w:rPr>
          <w:rFonts w:hint="eastAsia" w:ascii="宋体" w:hAnsi="宋体" w:eastAsia="宋体"/>
          <w:sz w:val="21"/>
          <w:szCs w:val="21"/>
          <w:highlight w:val="none"/>
          <w:u w:val="single"/>
        </w:rPr>
        <w:t xml:space="preserve">    </w:t>
      </w:r>
      <w:r>
        <w:rPr>
          <w:rFonts w:hint="eastAsia" w:ascii="宋体" w:hAnsi="宋体" w:eastAsia="宋体"/>
          <w:sz w:val="21"/>
          <w:szCs w:val="21"/>
          <w:highlight w:val="none"/>
        </w:rPr>
        <w:t xml:space="preserve">项目的购销事宜，签订本合同书。</w:t>
      </w:r>
      <w:r/>
    </w:p>
    <w:p>
      <w:pPr>
        <w:numPr>
          <w:ilvl w:val="0"/>
          <w:numId w:val="0"/>
        </w:numPr>
        <w:spacing w:line="360" w:lineRule="auto"/>
        <w:rPr>
          <w:rFonts w:ascii="宋体" w:hAnsi="宋体" w:cs="宋体"/>
          <w:b/>
          <w:color w:val="auto"/>
          <w:szCs w:val="21"/>
          <w:highlight w:val="none"/>
        </w:rPr>
      </w:pPr>
      <w:r>
        <w:rPr>
          <w:rFonts w:hint="eastAsia" w:ascii="宋体" w:hAnsi="宋体" w:eastAsia="宋体" w:cs="宋体"/>
          <w:b/>
          <w:color w:val="auto"/>
          <w:sz w:val="21"/>
          <w:szCs w:val="21"/>
          <w:highlight w:val="none"/>
          <w:lang w:val="en-US" w:eastAsia="zh-CN" w:bidi="ar-SA"/>
        </w:rPr>
        <w:t xml:space="preserve">一、</w:t>
      </w:r>
      <w:r>
        <w:rPr>
          <w:rFonts w:hint="eastAsia" w:ascii="宋体" w:hAnsi="宋体" w:cs="宋体"/>
          <w:b/>
          <w:color w:val="auto"/>
          <w:szCs w:val="21"/>
          <w:highlight w:val="none"/>
        </w:rPr>
        <w:t xml:space="preserve">项目内容：</w:t>
      </w:r>
      <w:r/>
    </w:p>
    <w:tbl>
      <w:tblPr>
        <w:tblStyle w:val="79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2"/>
        <w:gridCol w:w="1796"/>
        <w:gridCol w:w="1424"/>
        <w:gridCol w:w="921"/>
        <w:gridCol w:w="792"/>
        <w:gridCol w:w="1111"/>
        <w:gridCol w:w="898"/>
        <w:gridCol w:w="896"/>
      </w:tblGrid>
      <w:tr>
        <w:trPr>
          <w:jc w:val="center"/>
          <w:trHeight w:val="389"/>
        </w:trPr>
        <w:tc>
          <w:tcPr>
            <w:tcW w:w="76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179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项目名称</w:t>
            </w:r>
            <w:r/>
          </w:p>
        </w:tc>
        <w:tc>
          <w:tcPr>
            <w:tcW w:w="142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规格、型号</w:t>
            </w:r>
            <w:r/>
          </w:p>
        </w:tc>
        <w:tc>
          <w:tcPr>
            <w:tcW w:w="92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单位</w:t>
            </w:r>
            <w:r/>
          </w:p>
        </w:tc>
        <w:tc>
          <w:tcPr>
            <w:tcW w:w="79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数量</w:t>
            </w:r>
            <w:r/>
          </w:p>
        </w:tc>
        <w:tc>
          <w:tcPr>
            <w:tcW w:w="1111"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rPr>
              <w:t xml:space="preserve">生产厂家</w:t>
            </w:r>
            <w:r/>
          </w:p>
        </w:tc>
        <w:tc>
          <w:tcPr>
            <w:tcW w:w="89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单价</w:t>
            </w:r>
            <w:r/>
          </w:p>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（元）</w:t>
            </w:r>
            <w:r/>
          </w:p>
        </w:tc>
        <w:tc>
          <w:tcPr>
            <w:tcW w:w="89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总价</w:t>
            </w:r>
            <w:r/>
          </w:p>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（元）</w:t>
            </w:r>
            <w:r/>
          </w:p>
        </w:tc>
      </w:tr>
      <w:tr>
        <w:trPr>
          <w:jc w:val="center"/>
          <w:trHeight w:val="226"/>
        </w:trPr>
        <w:tc>
          <w:tcPr>
            <w:tcW w:w="76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1796"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1424"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921"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792"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1111"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898"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896"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226"/>
        </w:trPr>
        <w:tc>
          <w:tcPr>
            <w:tcW w:w="76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1796"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1424"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921"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792"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1111"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898"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896"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226"/>
        </w:trPr>
        <w:tc>
          <w:tcPr>
            <w:tcW w:w="76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1796"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1424"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921"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792"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1111"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898"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896"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226"/>
        </w:trPr>
        <w:tc>
          <w:tcPr>
            <w:tcW w:w="76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796"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1424"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921"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792"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1111"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898"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896"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326"/>
        </w:trPr>
        <w:tc>
          <w:tcPr>
            <w:gridSpan w:val="8"/>
            <w:tcW w:w="8600" w:type="dxa"/>
            <w:vAlign w:val="center"/>
            <w:textDirection w:val="lrTb"/>
            <w:noWrap w:val="false"/>
          </w:tcPr>
          <w:p>
            <w:pPr>
              <w:jc w:val="left"/>
              <w:widowControl/>
              <w:rPr>
                <w:rFonts w:ascii="宋体" w:hAnsi="宋体" w:cs="宋体"/>
                <w:b/>
                <w:color w:val="auto"/>
                <w:szCs w:val="21"/>
                <w:highlight w:val="none"/>
              </w:rPr>
            </w:pPr>
            <w:r>
              <w:rPr>
                <w:rFonts w:hint="eastAsia" w:ascii="宋体" w:hAnsi="宋体" w:cs="宋体"/>
                <w:b/>
                <w:color w:val="auto"/>
                <w:szCs w:val="21"/>
                <w:highlight w:val="none"/>
              </w:rPr>
              <w:t xml:space="preserve">合计金额大写：</w:t>
            </w:r>
            <w:r/>
          </w:p>
        </w:tc>
      </w:tr>
    </w:tbl>
    <w:p>
      <w:pPr>
        <w:spacing w:line="360" w:lineRule="auto"/>
        <w:rPr>
          <w:rFonts w:ascii="宋体" w:hAnsi="宋体" w:cs="宋体"/>
          <w:b/>
          <w:color w:val="auto"/>
          <w:highlight w:val="none"/>
        </w:rPr>
      </w:pPr>
      <w:r>
        <w:rPr>
          <w:rFonts w:hint="eastAsia" w:ascii="宋体" w:hAnsi="宋体" w:cs="宋体"/>
          <w:b/>
          <w:color w:val="auto"/>
          <w:highlight w:val="none"/>
        </w:rPr>
        <w:t xml:space="preserve">二、下列文件为本合同不可分割部分：</w:t>
      </w:r>
      <w:r/>
    </w:p>
    <w:p>
      <w:pPr>
        <w:pStyle w:val="802"/>
        <w:ind w:firstLine="420"/>
        <w:spacing w:line="360" w:lineRule="auto"/>
        <w:rPr>
          <w:rFonts w:cs="宋体"/>
          <w:b w:val="0"/>
          <w:color w:val="auto"/>
          <w:spacing w:val="0"/>
          <w:sz w:val="21"/>
          <w:highlight w:val="none"/>
        </w:rPr>
      </w:pPr>
      <w:r>
        <w:rPr>
          <w:rFonts w:hint="eastAsia" w:cs="宋体"/>
          <w:b w:val="0"/>
          <w:color w:val="auto"/>
          <w:spacing w:val="0"/>
          <w:sz w:val="21"/>
          <w:highlight w:val="none"/>
        </w:rPr>
        <w:t xml:space="preserve">（一）中标通知书；</w:t>
      </w:r>
      <w:r/>
    </w:p>
    <w:p>
      <w:pPr>
        <w:pStyle w:val="802"/>
        <w:ind w:firstLine="420"/>
        <w:spacing w:line="360" w:lineRule="auto"/>
        <w:rPr>
          <w:rFonts w:cs="宋体"/>
          <w:b w:val="0"/>
          <w:color w:val="auto"/>
          <w:spacing w:val="0"/>
          <w:sz w:val="21"/>
          <w:highlight w:val="none"/>
        </w:rPr>
      </w:pPr>
      <w:r>
        <w:rPr>
          <w:rFonts w:hint="eastAsia" w:cs="宋体"/>
          <w:b w:val="0"/>
          <w:color w:val="auto"/>
          <w:spacing w:val="0"/>
          <w:sz w:val="21"/>
          <w:highlight w:val="none"/>
        </w:rPr>
        <w:t xml:space="preserve">（二）招标文件、技术要求及补充通知（如有）；</w:t>
      </w:r>
      <w:r/>
    </w:p>
    <w:p>
      <w:pPr>
        <w:pStyle w:val="802"/>
        <w:ind w:firstLine="420"/>
        <w:spacing w:line="360" w:lineRule="auto"/>
        <w:rPr>
          <w:rFonts w:cs="宋体"/>
          <w:b w:val="0"/>
          <w:color w:val="auto"/>
          <w:spacing w:val="0"/>
          <w:sz w:val="21"/>
          <w:highlight w:val="none"/>
        </w:rPr>
      </w:pPr>
      <w:r>
        <w:rPr>
          <w:rFonts w:hint="eastAsia" w:cs="宋体"/>
          <w:b w:val="0"/>
          <w:color w:val="auto"/>
          <w:spacing w:val="0"/>
          <w:sz w:val="21"/>
          <w:highlight w:val="none"/>
        </w:rPr>
        <w:t xml:space="preserve">（三）中标文件和其它承诺、书面澄清等；</w:t>
      </w:r>
      <w:r/>
    </w:p>
    <w:p>
      <w:pPr>
        <w:pStyle w:val="802"/>
        <w:ind w:firstLine="420"/>
        <w:spacing w:line="360" w:lineRule="auto"/>
        <w:rPr>
          <w:rFonts w:cs="宋体"/>
          <w:b w:val="0"/>
          <w:color w:val="auto"/>
          <w:spacing w:val="0"/>
          <w:sz w:val="21"/>
          <w:highlight w:val="none"/>
        </w:rPr>
      </w:pPr>
      <w:r>
        <w:rPr>
          <w:rFonts w:hint="eastAsia" w:cs="宋体"/>
          <w:b w:val="0"/>
          <w:color w:val="auto"/>
          <w:spacing w:val="0"/>
          <w:sz w:val="21"/>
          <w:highlight w:val="none"/>
        </w:rPr>
        <w:t xml:space="preserve">（四）技术文件；</w:t>
      </w:r>
      <w:r/>
    </w:p>
    <w:p>
      <w:pPr>
        <w:ind w:firstLine="420"/>
        <w:spacing w:line="360" w:lineRule="auto"/>
        <w:rPr>
          <w:rFonts w:hint="eastAsia" w:ascii="宋体" w:hAnsi="宋体" w:eastAsia="宋体"/>
          <w:sz w:val="21"/>
          <w:szCs w:val="21"/>
          <w:highlight w:val="none"/>
        </w:rPr>
      </w:pPr>
      <w:r>
        <w:rPr>
          <w:rFonts w:hint="eastAsia" w:cs="宋体"/>
          <w:b w:val="0"/>
          <w:color w:val="auto"/>
          <w:spacing w:val="0"/>
          <w:sz w:val="21"/>
          <w:highlight w:val="none"/>
        </w:rPr>
        <w:t xml:space="preserve">（五）其他约定文件等。</w:t>
      </w:r>
      <w:r/>
    </w:p>
    <w:p>
      <w:pPr>
        <w:pStyle w:val="802"/>
        <w:spacing w:line="360" w:lineRule="auto"/>
        <w:rPr>
          <w:rFonts w:cs="宋体"/>
          <w:color w:val="auto"/>
          <w:spacing w:val="0"/>
          <w:sz w:val="21"/>
          <w:highlight w:val="none"/>
        </w:rPr>
      </w:pPr>
      <w:r>
        <w:rPr>
          <w:rFonts w:hint="eastAsia" w:cs="宋体"/>
          <w:color w:val="auto"/>
          <w:spacing w:val="0"/>
          <w:sz w:val="21"/>
          <w:highlight w:val="none"/>
        </w:rPr>
        <w:t xml:space="preserve">三、合同价格与支付：  </w:t>
      </w:r>
      <w:r/>
    </w:p>
    <w:p>
      <w:pPr>
        <w:ind w:firstLine="420"/>
        <w:spacing w:line="360" w:lineRule="auto"/>
        <w:tabs>
          <w:tab w:val="left" w:pos="630" w:leader="none"/>
        </w:tabs>
        <w:rPr>
          <w:rFonts w:ascii="宋体" w:hAnsi="宋体" w:cs="宋体"/>
          <w:color w:val="auto"/>
          <w:highlight w:val="none"/>
        </w:rPr>
      </w:pPr>
      <w:r>
        <w:rPr>
          <w:rFonts w:hint="eastAsia" w:ascii="宋体" w:hAnsi="宋体" w:cs="宋体"/>
          <w:color w:val="auto"/>
          <w:highlight w:val="none"/>
        </w:rPr>
        <w:t xml:space="preserve">（一）本合同价格为</w:t>
      </w:r>
      <w:r>
        <w:rPr>
          <w:rFonts w:hint="eastAsia" w:ascii="宋体" w:hAnsi="宋体" w:cs="宋体"/>
          <w:color w:val="auto"/>
          <w:szCs w:val="28"/>
          <w:highlight w:val="none"/>
        </w:rPr>
        <w:t xml:space="preserve">项目所在地</w:t>
      </w:r>
      <w:r>
        <w:rPr>
          <w:rFonts w:hint="eastAsia" w:ascii="宋体" w:hAnsi="宋体" w:cs="宋体"/>
          <w:color w:val="auto"/>
          <w:highlight w:val="none"/>
        </w:rPr>
        <w:t xml:space="preserve">含税价，本合同价格按人民币结算。</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（二）本</w:t>
      </w:r>
      <w:r>
        <w:rPr>
          <w:rFonts w:hint="eastAsia" w:ascii="宋体" w:hAnsi="宋体" w:cs="宋体"/>
          <w:color w:val="auto"/>
          <w:highlight w:val="none"/>
          <w:lang w:val="en-US" w:eastAsia="zh-CN"/>
        </w:rPr>
        <w:t xml:space="preserve">项目</w:t>
      </w:r>
      <w:r>
        <w:rPr>
          <w:rFonts w:hint="eastAsia" w:ascii="宋体" w:hAnsi="宋体" w:cs="宋体"/>
          <w:color w:val="auto"/>
          <w:highlight w:val="none"/>
        </w:rPr>
        <w:t xml:space="preserve">合同总价为：</w:t>
      </w:r>
      <w:r>
        <w:rPr>
          <w:rFonts w:hint="eastAsia" w:ascii="宋体" w:hAnsi="宋体" w:cs="宋体"/>
          <w:b/>
          <w:color w:val="auto"/>
          <w:szCs w:val="21"/>
          <w:highlight w:val="none"/>
          <w:u w:val="single"/>
        </w:rPr>
        <w:t xml:space="preserve">         （￥    ）</w:t>
      </w:r>
      <w:r>
        <w:rPr>
          <w:rFonts w:hint="eastAsia" w:ascii="宋体" w:hAnsi="宋体" w:cs="宋体"/>
          <w:color w:val="auto"/>
          <w:highlight w:val="none"/>
        </w:rPr>
        <w:t xml:space="preserve">，合同总价</w:t>
      </w:r>
      <w:r>
        <w:rPr>
          <w:rFonts w:hint="eastAsia" w:ascii="宋体" w:hAnsi="宋体" w:eastAsia="宋体" w:cs="宋体"/>
          <w:sz w:val="21"/>
          <w:szCs w:val="21"/>
          <w:highlight w:val="none"/>
          <w:u w:val="none"/>
          <w:lang w:val="en-US" w:eastAsia="zh-CN"/>
        </w:rPr>
        <w:t xml:space="preserve">包括所有货物和服务、配件、辅材以及相关的备件、专用工具、运输、装卸、人工、安装、调试、培训、保险、检验检测、专利技术、技术支持、利润、税金、政策性文件规定及合同包含的所有风险、责任等各项应有费用。</w:t>
      </w:r>
      <w:r>
        <w:rPr>
          <w:rFonts w:hint="eastAsia" w:ascii="宋体" w:hAnsi="宋体" w:cs="宋体"/>
          <w:color w:val="auto"/>
          <w:highlight w:val="none"/>
        </w:rPr>
        <w:t xml:space="preserve"> </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（三）付款方式：</w:t>
      </w:r>
      <w:bookmarkStart w:id="26" w:name="_Hlk166669467"/>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1.付款步骤：</w:t>
      </w:r>
      <w:bookmarkEnd w:id="26"/>
      <w:r>
        <w:rPr>
          <w:rFonts w:hint="eastAsia" w:ascii="宋体" w:hAnsi="宋体" w:eastAsia="宋体" w:cs="宋体"/>
          <w:sz w:val="21"/>
          <w:szCs w:val="21"/>
          <w:highlight w:val="none"/>
          <w:u w:val="none"/>
          <w:lang w:val="en-US" w:eastAsia="zh-CN"/>
        </w:rPr>
        <w:t xml:space="preserve">合同签订后甲方支付合同价款的30%的货款，全部货物到达现场，安装完毕且验收合格后付合同价款的</w:t>
      </w:r>
      <w:r>
        <w:rPr>
          <w:rFonts w:hint="eastAsia" w:cs="宋体"/>
          <w:sz w:val="21"/>
          <w:szCs w:val="21"/>
          <w:highlight w:val="none"/>
          <w:u w:val="none"/>
          <w:lang w:val="en-US" w:eastAsia="zh-CN"/>
        </w:rPr>
        <w:t xml:space="preserve">60</w:t>
      </w:r>
      <w:r>
        <w:rPr>
          <w:rFonts w:hint="eastAsia" w:ascii="宋体" w:hAnsi="宋体" w:eastAsia="宋体" w:cs="宋体"/>
          <w:sz w:val="21"/>
          <w:szCs w:val="21"/>
          <w:highlight w:val="none"/>
          <w:u w:val="none"/>
          <w:lang w:val="en-US" w:eastAsia="zh-CN"/>
        </w:rPr>
        <w:t xml:space="preserve">%</w:t>
      </w:r>
      <w:r>
        <w:rPr>
          <w:rFonts w:hint="eastAsia" w:cs="宋体"/>
          <w:sz w:val="21"/>
          <w:szCs w:val="21"/>
          <w:highlight w:val="none"/>
          <w:u w:val="none"/>
          <w:lang w:val="en-US" w:eastAsia="zh-CN"/>
        </w:rPr>
        <w:t xml:space="preserve">，余款质保期满后一次性付清</w:t>
      </w:r>
      <w:r>
        <w:rPr>
          <w:rFonts w:hint="eastAsia" w:ascii="宋体" w:hAnsi="宋体" w:eastAsia="宋体" w:cs="宋体"/>
          <w:sz w:val="21"/>
          <w:szCs w:val="21"/>
          <w:highlight w:val="none"/>
          <w:u w:val="none"/>
          <w:lang w:val="en-US" w:eastAsia="zh-CN"/>
        </w:rPr>
        <w:t xml:space="preserve">。</w:t>
      </w:r>
      <w:r/>
    </w:p>
    <w:p>
      <w:pPr>
        <w:ind w:firstLine="420"/>
        <w:spacing w:line="360" w:lineRule="auto"/>
        <w:widowControl/>
        <w:rPr>
          <w:rFonts w:hint="eastAsia" w:ascii="宋体" w:hAnsi="宋体" w:cs="宋体"/>
          <w:bCs/>
          <w:color w:val="auto"/>
          <w:highlight w:val="none"/>
        </w:rPr>
      </w:pPr>
      <w:r>
        <w:rPr>
          <w:rFonts w:hint="eastAsia" w:ascii="宋体" w:hAnsi="宋体" w:cs="宋体"/>
          <w:bCs/>
          <w:color w:val="auto"/>
          <w:highlight w:val="none"/>
        </w:rPr>
        <w:t xml:space="preserve">甲方付款时，乙方需提供以下资料：</w:t>
      </w:r>
      <w:r/>
    </w:p>
    <w:p>
      <w:pPr>
        <w:ind w:firstLine="420"/>
        <w:spacing w:line="360" w:lineRule="auto"/>
        <w:widowControl/>
        <w:rPr>
          <w:rFonts w:ascii="宋体" w:hAnsi="宋体" w:cs="宋体"/>
          <w:bCs/>
          <w:color w:val="auto"/>
          <w:highlight w:val="none"/>
        </w:rPr>
      </w:pPr>
      <w:r>
        <w:rPr>
          <w:rFonts w:hint="eastAsia" w:ascii="宋体" w:hAnsi="宋体" w:cs="宋体"/>
          <w:bCs/>
          <w:color w:val="auto"/>
          <w:highlight w:val="none"/>
        </w:rPr>
        <w:t xml:space="preserve">A、甲方签收的送货回单。 </w:t>
      </w:r>
      <w:r/>
    </w:p>
    <w:p>
      <w:pPr>
        <w:ind w:firstLine="420"/>
        <w:spacing w:line="360" w:lineRule="auto"/>
        <w:widowControl/>
        <w:rPr>
          <w:rFonts w:ascii="宋体" w:hAnsi="宋体" w:cs="宋体"/>
          <w:bCs/>
          <w:color w:val="auto"/>
          <w:highlight w:val="none"/>
        </w:rPr>
      </w:pPr>
      <w:r>
        <w:rPr>
          <w:rFonts w:hint="eastAsia" w:ascii="宋体" w:hAnsi="宋体" w:cs="宋体"/>
          <w:bCs/>
          <w:color w:val="auto"/>
          <w:highlight w:val="none"/>
        </w:rPr>
        <w:t xml:space="preserve">B、正式的发票。</w:t>
      </w:r>
      <w:r/>
    </w:p>
    <w:p>
      <w:pPr>
        <w:ind w:firstLine="420"/>
        <w:spacing w:line="360" w:lineRule="auto"/>
        <w:rPr>
          <w:rFonts w:ascii="宋体" w:hAnsi="宋体"/>
          <w:color w:val="auto"/>
          <w:highlight w:val="none"/>
        </w:rPr>
      </w:pPr>
      <w:r>
        <w:rPr>
          <w:rFonts w:hint="eastAsia" w:ascii="宋体" w:hAnsi="宋体" w:cs="宋体"/>
          <w:bCs/>
          <w:color w:val="auto"/>
          <w:highlight w:val="none"/>
        </w:rPr>
        <w:t xml:space="preserve">C、由甲乙双方及招标代理机构签章的《</w:t>
      </w:r>
      <w:r>
        <w:rPr>
          <w:rFonts w:hint="eastAsia" w:ascii="宋体" w:hAnsi="宋体" w:cs="宋体"/>
          <w:color w:val="auto"/>
          <w:highlight w:val="none"/>
        </w:rPr>
        <w:t xml:space="preserve">政府采购履约验收书</w:t>
      </w:r>
      <w:r>
        <w:rPr>
          <w:rFonts w:hint="eastAsia" w:ascii="宋体" w:hAnsi="宋体" w:cs="宋体"/>
          <w:bCs/>
          <w:color w:val="auto"/>
          <w:highlight w:val="none"/>
        </w:rPr>
        <w:t xml:space="preserve">》</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2.付款前，乙方应开具正规合格的增值税专用发票原件提交甲方，甲方将支付相应款项。</w:t>
      </w:r>
      <w:r/>
    </w:p>
    <w:p>
      <w:pPr>
        <w:ind w:right="-161" w:firstLine="420"/>
        <w:spacing w:line="360" w:lineRule="auto"/>
        <w:rPr>
          <w:rFonts w:ascii="宋体" w:hAnsi="宋体" w:cs="宋体"/>
          <w:color w:val="auto"/>
          <w:highlight w:val="none"/>
        </w:rPr>
      </w:pPr>
      <w:r>
        <w:rPr>
          <w:rFonts w:hint="eastAsia" w:ascii="宋体" w:hAnsi="宋体"/>
          <w:color w:val="auto"/>
          <w:szCs w:val="21"/>
          <w:highlight w:val="none"/>
        </w:rPr>
        <w:t xml:space="preserve">3.</w:t>
      </w:r>
      <w:r>
        <w:rPr>
          <w:rFonts w:hint="eastAsia" w:ascii="宋体" w:hAnsi="宋体" w:cs="宋体"/>
          <w:color w:val="auto"/>
          <w:highlight w:val="none"/>
        </w:rPr>
        <w:t xml:space="preserve">付款方式：银行转账、银行汇票或转帐支票。</w:t>
      </w:r>
      <w:r/>
    </w:p>
    <w:p>
      <w:pPr>
        <w:ind w:right="-161" w:firstLine="420"/>
        <w:spacing w:line="360" w:lineRule="auto"/>
        <w:rPr>
          <w:rFonts w:ascii="宋体" w:hAnsi="宋体" w:cs="宋体"/>
          <w:color w:val="auto"/>
          <w:highlight w:val="none"/>
        </w:rPr>
      </w:pPr>
      <w:r>
        <w:rPr>
          <w:rFonts w:hint="eastAsia" w:ascii="宋体" w:hAnsi="宋体" w:cs="宋体"/>
          <w:color w:val="auto"/>
          <w:highlight w:val="none"/>
        </w:rPr>
        <w:t xml:space="preserve">4.乙方账户信息如下：</w:t>
      </w:r>
      <w:r/>
    </w:p>
    <w:p>
      <w:pPr>
        <w:ind w:right="-161" w:firstLine="630"/>
        <w:spacing w:line="360" w:lineRule="auto"/>
        <w:rPr>
          <w:rFonts w:ascii="宋体" w:hAnsi="宋体" w:cs="宋体"/>
          <w:color w:val="auto"/>
          <w:highlight w:val="none"/>
        </w:rPr>
      </w:pPr>
      <w:r>
        <w:rPr>
          <w:rFonts w:hint="eastAsia" w:ascii="宋体" w:hAnsi="宋体" w:cs="宋体"/>
          <w:color w:val="auto"/>
          <w:highlight w:val="none"/>
        </w:rPr>
        <w:t xml:space="preserve">开户名称：</w:t>
      </w:r>
      <w:r/>
    </w:p>
    <w:p>
      <w:pPr>
        <w:ind w:right="-161" w:firstLine="630"/>
        <w:spacing w:line="360" w:lineRule="auto"/>
        <w:rPr>
          <w:rFonts w:ascii="宋体" w:hAnsi="宋体" w:cs="宋体"/>
          <w:color w:val="auto"/>
          <w:highlight w:val="none"/>
        </w:rPr>
      </w:pPr>
      <w:r>
        <w:rPr>
          <w:rFonts w:hint="eastAsia" w:ascii="宋体" w:hAnsi="宋体" w:cs="宋体"/>
          <w:color w:val="auto"/>
          <w:highlight w:val="none"/>
        </w:rPr>
        <w:t xml:space="preserve">开户银行：</w:t>
      </w:r>
      <w:r/>
    </w:p>
    <w:p>
      <w:pPr>
        <w:ind w:firstLine="630"/>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银行账号：</w:t>
      </w:r>
      <w:r/>
    </w:p>
    <w:p>
      <w:pPr>
        <w:jc w:val="left"/>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四、交付时间、地点、方式： </w:t>
      </w:r>
      <w:r/>
    </w:p>
    <w:p>
      <w:pPr>
        <w:ind w:left="99" w:firstLine="420"/>
        <w:spacing w:line="360" w:lineRule="auto"/>
        <w:rPr>
          <w:rFonts w:ascii="宋体" w:hAnsi="宋体" w:cs="宋体"/>
          <w:color w:val="auto"/>
          <w:highlight w:val="none"/>
        </w:rPr>
      </w:pPr>
      <w:r>
        <w:rPr>
          <w:rFonts w:hint="eastAsia" w:ascii="宋体" w:hAnsi="宋体" w:cs="宋体"/>
          <w:color w:val="auto"/>
          <w:highlight w:val="none"/>
        </w:rPr>
        <w:t xml:space="preserve">（一）交付方式：</w:t>
      </w:r>
      <w:r/>
    </w:p>
    <w:p>
      <w:pPr>
        <w:ind w:left="99" w:firstLine="420"/>
        <w:spacing w:line="360" w:lineRule="auto"/>
        <w:rPr>
          <w:rFonts w:ascii="宋体" w:hAnsi="宋体" w:cs="宋体"/>
          <w:color w:val="auto"/>
          <w:highlight w:val="none"/>
        </w:rPr>
      </w:pPr>
      <w:r>
        <w:rPr>
          <w:rFonts w:hint="eastAsia" w:ascii="宋体" w:hAnsi="宋体" w:cs="宋体"/>
          <w:color w:val="auto"/>
          <w:highlight w:val="none"/>
        </w:rPr>
        <w:t xml:space="preserve">（二）交货期限：</w:t>
      </w:r>
      <w:r/>
    </w:p>
    <w:p>
      <w:pPr>
        <w:ind w:left="99" w:firstLine="420"/>
        <w:spacing w:line="360" w:lineRule="auto"/>
        <w:rPr>
          <w:rFonts w:ascii="宋体" w:hAnsi="宋体" w:cs="宋体"/>
          <w:color w:val="auto"/>
          <w:highlight w:val="none"/>
        </w:rPr>
      </w:pPr>
      <w:r>
        <w:rPr>
          <w:rFonts w:hint="eastAsia" w:ascii="宋体" w:hAnsi="宋体" w:cs="宋体"/>
          <w:color w:val="auto"/>
          <w:highlight w:val="none"/>
        </w:rPr>
        <w:t xml:space="preserve">（三）交货地点：</w:t>
      </w:r>
      <w:r>
        <w:rPr>
          <w:rFonts w:hint="eastAsia" w:ascii="宋体" w:hAnsi="宋体" w:cs="宋体"/>
          <w:color w:val="auto"/>
          <w:highlight w:val="none"/>
          <w:lang w:val="en-US" w:eastAsia="zh-CN"/>
        </w:rPr>
        <w:t xml:space="preserve">甲方指定地点</w:t>
      </w:r>
      <w:r>
        <w:rPr>
          <w:rFonts w:hint="eastAsia" w:ascii="宋体" w:hAnsi="宋体" w:cs="宋体"/>
          <w:color w:val="auto"/>
          <w:highlight w:val="none"/>
        </w:rPr>
        <w:t xml:space="preserve">。</w:t>
      </w:r>
      <w:r/>
    </w:p>
    <w:p>
      <w:pPr>
        <w:ind w:left="99" w:firstLine="420"/>
        <w:spacing w:line="360" w:lineRule="auto"/>
        <w:rPr>
          <w:rFonts w:ascii="宋体" w:hAnsi="宋体" w:cs="宋体"/>
          <w:color w:val="auto"/>
          <w:highlight w:val="none"/>
        </w:rPr>
      </w:pPr>
      <w:r>
        <w:rPr>
          <w:rFonts w:hint="eastAsia" w:ascii="宋体" w:hAnsi="宋体" w:cs="宋体"/>
          <w:color w:val="auto"/>
          <w:highlight w:val="none"/>
        </w:rPr>
        <w:t xml:space="preserve">（四）乙方发货到甲方指定地点前，应先与甲方确认，并确定实际到场时间，乙方提前于甲方通知日期运货到现场，若发生有关现场额外的保管费等费用支出，均由乙方承担。若甲方根据现场进度，推迟货物进场时间，乙方不得因此提出任何费用增加的申请。</w:t>
      </w:r>
      <w:r/>
    </w:p>
    <w:p>
      <w:pPr>
        <w:ind w:left="99" w:firstLine="420"/>
        <w:spacing w:line="360" w:lineRule="auto"/>
        <w:rPr>
          <w:rFonts w:ascii="宋体" w:hAnsi="宋体" w:cs="宋体"/>
          <w:color w:val="auto"/>
          <w:highlight w:val="none"/>
        </w:rPr>
      </w:pPr>
      <w:r>
        <w:rPr>
          <w:rFonts w:hint="eastAsia" w:ascii="宋体" w:hAnsi="宋体" w:cs="宋体"/>
          <w:color w:val="auto"/>
          <w:highlight w:val="none"/>
        </w:rPr>
        <w:t xml:space="preserve">（五）所有货物的外观、包装、运输应按国家规定或部颁标准执行。任何由于乙方包装及保护措施不足或不当以及其它原因造成的损坏或丢失，均由乙方负责修复或补缺。</w:t>
      </w:r>
      <w:r/>
    </w:p>
    <w:p>
      <w:pPr>
        <w:ind w:left="99" w:firstLine="420"/>
        <w:spacing w:line="360" w:lineRule="auto"/>
        <w:rPr>
          <w:rFonts w:ascii="宋体" w:hAnsi="宋体" w:cs="宋体"/>
          <w:color w:val="auto"/>
          <w:highlight w:val="none"/>
        </w:rPr>
      </w:pPr>
      <w:r>
        <w:rPr>
          <w:rFonts w:hint="eastAsia" w:ascii="宋体" w:hAnsi="宋体" w:cs="宋体"/>
          <w:color w:val="auto"/>
          <w:highlight w:val="none"/>
        </w:rPr>
        <w:t xml:space="preserve">（六）货物交货时，包装须完整无破损，乙方还必须提供以下材料：</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A、货物装箱清单                    B、质量检验合格文件</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C、中英文技术资料                  D、使用维修保养中文说明书</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E、其它必备材料和必备工具等        F、保修单等其它必须材料</w:t>
      </w:r>
      <w:r/>
    </w:p>
    <w:p>
      <w:pPr>
        <w:ind w:firstLine="420"/>
        <w:spacing w:line="360" w:lineRule="auto"/>
        <w:rPr>
          <w:rFonts w:hint="eastAsia" w:ascii="宋体" w:hAnsi="宋体" w:eastAsia="宋体"/>
          <w:sz w:val="21"/>
          <w:szCs w:val="21"/>
          <w:highlight w:val="none"/>
        </w:rPr>
      </w:pPr>
      <w:r>
        <w:rPr>
          <w:rFonts w:hint="eastAsia" w:ascii="宋体" w:hAnsi="宋体" w:cs="宋体"/>
          <w:color w:val="auto"/>
          <w:highlight w:val="none"/>
        </w:rPr>
        <w:t xml:space="preserve">（七）如因甲方原因货物不能在规定时间内进场，乙方承诺免费提供货物寄存场所，货物寄存于乙方仓库。</w:t>
      </w:r>
      <w:r/>
    </w:p>
    <w:p>
      <w:pPr>
        <w:ind w:firstLine="422"/>
        <w:jc w:val="left"/>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五、质量及验收：</w:t>
      </w:r>
      <w:r/>
    </w:p>
    <w:p>
      <w:pPr>
        <w:ind w:firstLine="420"/>
        <w:jc w:val="left"/>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1.产品质量及安装符合国家质量标准和验收规范，供应商应保证所供标的物是全新的，未使用过的，并且是非长期积压的库存商品。</w:t>
      </w:r>
      <w:r/>
    </w:p>
    <w:p>
      <w:pPr>
        <w:ind w:firstLine="420"/>
        <w:jc w:val="left"/>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2.所有产品各项技术应当符合国家（强制性）标准及各项规范要求；国家没有相应标准、规范的，可使用行业标准、规定；非标准设备按招标约定的技术要求和规范。 </w:t>
      </w:r>
      <w:r/>
    </w:p>
    <w:p>
      <w:pPr>
        <w:ind w:firstLine="420"/>
        <w:jc w:val="left"/>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3.所有设备在到达安装现场时须经采购单位技术人员记录验收后才可进行设备安装，验货时须提交该产品的原厂质量合格证明及服务质保证明文件，且合格证明签发日期不得早于本合同签订日前六个月。</w:t>
      </w:r>
      <w:r/>
    </w:p>
    <w:p>
      <w:pPr>
        <w:ind w:firstLine="420"/>
        <w:jc w:val="left"/>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4.所有设备、附（配）件应具备该类产品的功能要求，无瑕疵和缺陷，质量为合格产品，同时有明确的生产厂商或制造厂商。 </w:t>
      </w:r>
      <w:r/>
    </w:p>
    <w:p>
      <w:pPr>
        <w:ind w:firstLine="420"/>
        <w:jc w:val="left"/>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5.缺陷保修：如果设备交付使用后，缺陷多次反复出现，中标方必须提出分析报告和解决方案，更换该产品，直到最后纠正缺陷、投标人提供质保从纠正之日起重新计算质保期。</w:t>
      </w:r>
      <w:r/>
    </w:p>
    <w:p>
      <w:pPr>
        <w:ind w:firstLine="420"/>
        <w:jc w:val="left"/>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6.如果是超出投标人的责任范围的疏忽、误操作等情况而导致的更换修正，应由投标人进行修理，其额外费用由双方协商承担。</w:t>
      </w:r>
      <w:r/>
    </w:p>
    <w:p>
      <w:pPr>
        <w:ind w:firstLine="420"/>
        <w:jc w:val="left"/>
        <w:spacing w:line="360" w:lineRule="auto"/>
        <w:rPr>
          <w:rFonts w:hint="default" w:ascii="宋体" w:hAnsi="宋体" w:eastAsia="宋体" w:cs="宋体"/>
          <w:b w:val="0"/>
          <w:bCs/>
          <w:color w:val="auto"/>
          <w:szCs w:val="21"/>
          <w:highlight w:val="none"/>
          <w:lang w:val="en-US" w:eastAsia="zh-CN"/>
        </w:rPr>
      </w:pPr>
      <w:r>
        <w:rPr>
          <w:rFonts w:hint="eastAsia" w:ascii="宋体" w:hAnsi="宋体" w:cs="宋体"/>
          <w:b w:val="0"/>
          <w:bCs/>
          <w:color w:val="auto"/>
          <w:szCs w:val="21"/>
          <w:highlight w:val="none"/>
          <w:lang w:val="en-US" w:eastAsia="zh-CN"/>
        </w:rPr>
        <w:t xml:space="preserve">7.</w:t>
      </w:r>
      <w:r>
        <w:rPr>
          <w:rFonts w:hint="eastAsia" w:ascii="宋体" w:hAnsi="宋体" w:cs="宋体"/>
          <w:color w:val="auto"/>
          <w:szCs w:val="21"/>
          <w:highlight w:val="none"/>
          <w:lang w:val="en-US" w:eastAsia="zh-CN"/>
        </w:rPr>
        <w:t xml:space="preserve">甲方有权对乙方所供产品随机进行抽样检</w:t>
      </w:r>
      <w:r>
        <w:rPr>
          <w:rFonts w:hint="eastAsia" w:ascii="宋体" w:hAnsi="宋体" w:cs="宋体"/>
          <w:b w:val="0"/>
          <w:bCs w:val="0"/>
          <w:color w:val="auto"/>
          <w:szCs w:val="21"/>
          <w:highlight w:val="none"/>
          <w:lang w:val="en-US" w:eastAsia="zh-CN"/>
        </w:rPr>
        <w:t xml:space="preserve">测（检测机构由甲方指定，相关检测费用全部由乙方承担。），如任何一项不符合投标文件及乙方投标相关</w:t>
      </w:r>
      <w:r>
        <w:rPr>
          <w:rFonts w:hint="eastAsia" w:ascii="宋体" w:hAnsi="宋体" w:cs="宋体"/>
          <w:color w:val="auto"/>
          <w:szCs w:val="21"/>
          <w:highlight w:val="none"/>
          <w:lang w:val="en-US" w:eastAsia="zh-CN"/>
        </w:rPr>
        <w:t xml:space="preserve">承诺货不对板或乙方所供产品质量不合格的，乙方须无条件进行退货、换货，如不配合退换货或退换货后再次不合格的，甲方有权解除合同，并要求乙方退还全部货款同时乙方应当承担合同总金额的30%货款作为违约金，违约金不足以弥补甲方损失的应当补足</w:t>
      </w:r>
      <w:r>
        <w:rPr>
          <w:rFonts w:hint="eastAsia" w:ascii="宋体" w:hAnsi="宋体" w:cs="宋体"/>
          <w:b/>
          <w:bCs/>
          <w:color w:val="auto"/>
          <w:szCs w:val="21"/>
          <w:highlight w:val="none"/>
          <w:lang w:val="en-US" w:eastAsia="zh-CN"/>
        </w:rPr>
        <w:t xml:space="preserve">。</w:t>
      </w:r>
      <w:r/>
    </w:p>
    <w:p>
      <w:pPr>
        <w:ind w:firstLine="420"/>
        <w:jc w:val="left"/>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lang w:val="en-US" w:eastAsia="zh-CN"/>
        </w:rPr>
        <w:t xml:space="preserve">8</w:t>
      </w:r>
      <w:r>
        <w:rPr>
          <w:rFonts w:hint="eastAsia" w:ascii="宋体" w:hAnsi="宋体" w:cs="宋体"/>
          <w:b w:val="0"/>
          <w:bCs/>
          <w:color w:val="auto"/>
          <w:szCs w:val="21"/>
          <w:highlight w:val="none"/>
        </w:rPr>
        <w:t xml:space="preserve">.验收要求：</w:t>
      </w:r>
      <w:r/>
    </w:p>
    <w:p>
      <w:pPr>
        <w:ind w:firstLine="420"/>
        <w:jc w:val="left"/>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lang w:val="en-US" w:eastAsia="zh-CN"/>
        </w:rPr>
        <w:t xml:space="preserve">8</w:t>
      </w:r>
      <w:r>
        <w:rPr>
          <w:rFonts w:hint="eastAsia" w:ascii="宋体" w:hAnsi="宋体" w:cs="宋体"/>
          <w:b w:val="0"/>
          <w:bCs/>
          <w:color w:val="auto"/>
          <w:szCs w:val="21"/>
          <w:highlight w:val="none"/>
        </w:rPr>
        <w:t xml:space="preserve">.1.履约验收标准：根据政府采购合同要求、</w:t>
      </w:r>
      <w:r>
        <w:rPr>
          <w:rFonts w:hint="eastAsia" w:ascii="宋体" w:hAnsi="宋体" w:cs="宋体"/>
          <w:b w:val="0"/>
          <w:bCs/>
          <w:color w:val="auto"/>
          <w:szCs w:val="21"/>
          <w:highlight w:val="none"/>
          <w:lang w:val="en-US" w:eastAsia="zh-CN"/>
        </w:rPr>
        <w:t xml:space="preserve">招标</w:t>
      </w:r>
      <w:r>
        <w:rPr>
          <w:rFonts w:hint="eastAsia" w:ascii="宋体" w:hAnsi="宋体" w:cs="宋体"/>
          <w:b w:val="0"/>
          <w:bCs/>
          <w:color w:val="auto"/>
          <w:szCs w:val="21"/>
          <w:highlight w:val="none"/>
        </w:rPr>
        <w:t xml:space="preserve">文件要求、</w:t>
      </w:r>
      <w:r>
        <w:rPr>
          <w:rFonts w:hint="eastAsia" w:ascii="宋体" w:hAnsi="宋体" w:cs="宋体"/>
          <w:b w:val="0"/>
          <w:bCs/>
          <w:color w:val="auto"/>
          <w:szCs w:val="21"/>
          <w:highlight w:val="none"/>
          <w:lang w:val="en-US" w:eastAsia="zh-CN"/>
        </w:rPr>
        <w:t xml:space="preserve">投标</w:t>
      </w:r>
      <w:r>
        <w:rPr>
          <w:rFonts w:hint="eastAsia" w:ascii="宋体" w:hAnsi="宋体" w:cs="宋体"/>
          <w:b w:val="0"/>
          <w:bCs/>
          <w:color w:val="auto"/>
          <w:szCs w:val="21"/>
          <w:highlight w:val="none"/>
        </w:rPr>
        <w:t xml:space="preserve">文件、承诺及有关行业规定。</w:t>
      </w:r>
      <w:r/>
    </w:p>
    <w:p>
      <w:pPr>
        <w:ind w:firstLine="420"/>
        <w:jc w:val="left"/>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lang w:val="en-US" w:eastAsia="zh-CN"/>
        </w:rPr>
        <w:t xml:space="preserve">8</w:t>
      </w:r>
      <w:r>
        <w:rPr>
          <w:rFonts w:hint="eastAsia" w:ascii="宋体" w:hAnsi="宋体" w:cs="宋体"/>
          <w:b w:val="0"/>
          <w:bCs/>
          <w:color w:val="auto"/>
          <w:szCs w:val="21"/>
          <w:highlight w:val="none"/>
        </w:rPr>
        <w:t xml:space="preserve">.2.履约验收主体：由甲方或委托专家（或第三方机构）组成的验收小组进行验收。</w:t>
      </w:r>
      <w:r/>
    </w:p>
    <w:p>
      <w:pPr>
        <w:ind w:firstLine="420"/>
        <w:jc w:val="left"/>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lang w:val="en-US" w:eastAsia="zh-CN"/>
        </w:rPr>
        <w:t xml:space="preserve">8</w:t>
      </w:r>
      <w:r>
        <w:rPr>
          <w:rFonts w:hint="eastAsia" w:ascii="宋体" w:hAnsi="宋体" w:cs="宋体"/>
          <w:b w:val="0"/>
          <w:bCs/>
          <w:color w:val="auto"/>
          <w:szCs w:val="21"/>
          <w:highlight w:val="none"/>
        </w:rPr>
        <w:t xml:space="preserve">.3.履约验收方式：严格按照本合同约定对每一项技术、服务、安全标准的履约情况进行确认，验收结束后，出具验收书，列明各分项标准的验收情况及项目总体评价，由验收双方共同签署。相关检测（检验）费用或验收小组成员中的专业技术人员费用由乙方承担。</w:t>
      </w:r>
      <w:r/>
    </w:p>
    <w:p>
      <w:pPr>
        <w:ind w:firstLine="420"/>
        <w:spacing w:line="360" w:lineRule="auto"/>
        <w:rPr>
          <w:rFonts w:hint="eastAsia" w:ascii="宋体" w:hAnsi="宋体" w:eastAsia="宋体"/>
          <w:sz w:val="21"/>
          <w:szCs w:val="21"/>
          <w:highlight w:val="none"/>
        </w:rPr>
      </w:pPr>
      <w:r>
        <w:rPr>
          <w:rFonts w:hint="eastAsia" w:ascii="宋体" w:hAnsi="宋体" w:cs="宋体"/>
          <w:b w:val="0"/>
          <w:bCs/>
          <w:color w:val="auto"/>
          <w:szCs w:val="21"/>
          <w:highlight w:val="none"/>
          <w:lang w:val="en-US" w:eastAsia="zh-CN"/>
        </w:rPr>
        <w:t xml:space="preserve">8</w:t>
      </w:r>
      <w:r>
        <w:rPr>
          <w:rFonts w:hint="eastAsia" w:ascii="宋体" w:hAnsi="宋体" w:cs="宋体"/>
          <w:b w:val="0"/>
          <w:bCs/>
          <w:color w:val="auto"/>
          <w:szCs w:val="21"/>
          <w:highlight w:val="none"/>
        </w:rPr>
        <w:t xml:space="preserve">.4.其他验收要求按照《江苏省政府采购履约验收管理办法》规定执行。</w:t>
      </w:r>
      <w:r/>
    </w:p>
    <w:p>
      <w:pPr>
        <w:ind w:firstLine="420"/>
        <w:jc w:val="left"/>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8.5甲方验收通过并不免除乙方对提供货物质量的责任，如在验收合格后发现隐蔽质量缺陷的，仍视为乙方产品质量不合格，甲方有权追究其违约责任。</w:t>
      </w:r>
      <w:r/>
    </w:p>
    <w:p>
      <w:pPr>
        <w:ind w:firstLine="420"/>
        <w:spacing w:line="360" w:lineRule="auto"/>
        <w:rPr>
          <w:rFonts w:hint="eastAsia" w:ascii="宋体" w:hAnsi="宋体" w:eastAsia="宋体"/>
          <w:sz w:val="21"/>
          <w:szCs w:val="21"/>
          <w:highlight w:val="none"/>
        </w:rPr>
      </w:pPr>
      <w:r>
        <w:rPr>
          <w:rFonts w:hint="eastAsia" w:ascii="宋体" w:hAnsi="宋体" w:cs="宋体"/>
          <w:b w:val="0"/>
          <w:bCs/>
          <w:color w:val="auto"/>
          <w:szCs w:val="21"/>
          <w:highlight w:val="none"/>
        </w:rPr>
        <w:t xml:space="preserve">8.6如乙方交货不合格从而影响甲方按期正常使用的视为乙方逾期交货</w:t>
      </w:r>
      <w:r>
        <w:rPr>
          <w:rFonts w:hint="eastAsia" w:ascii="宋体" w:hAnsi="宋体" w:cs="宋体"/>
          <w:b w:val="0"/>
          <w:bCs/>
          <w:color w:val="auto"/>
          <w:szCs w:val="21"/>
          <w:highlight w:val="none"/>
          <w:lang w:eastAsia="zh-CN"/>
        </w:rPr>
        <w:t xml:space="preserve">。</w:t>
      </w:r>
      <w:r/>
    </w:p>
    <w:p>
      <w:pPr>
        <w:spacing w:line="360" w:lineRule="auto"/>
        <w:rPr>
          <w:rFonts w:ascii="宋体" w:hAnsi="宋体" w:cs="宋体"/>
          <w:b/>
          <w:color w:val="auto"/>
          <w:highlight w:val="none"/>
        </w:rPr>
      </w:pPr>
      <w:r>
        <w:rPr>
          <w:rFonts w:hint="eastAsia" w:ascii="宋体" w:hAnsi="宋体" w:cs="宋体"/>
          <w:b/>
          <w:color w:val="auto"/>
          <w:highlight w:val="none"/>
        </w:rPr>
        <w:t xml:space="preserve">六、售后服务及其他要求：</w:t>
      </w:r>
      <w:r/>
    </w:p>
    <w:p>
      <w:pPr>
        <w:ind w:firstLine="420"/>
        <w:spacing w:line="360" w:lineRule="auto"/>
        <w:tabs>
          <w:tab w:val="left" w:pos="630" w:leader="none"/>
        </w:tabs>
        <w:rPr>
          <w:rFonts w:ascii="宋体" w:hAnsi="宋体" w:cs="宋体"/>
          <w:color w:val="auto"/>
          <w:highlight w:val="none"/>
        </w:rPr>
      </w:pPr>
      <w:r>
        <w:rPr>
          <w:rFonts w:hint="eastAsia" w:ascii="宋体" w:hAnsi="宋体" w:cs="宋体"/>
          <w:color w:val="auto"/>
          <w:szCs w:val="21"/>
          <w:highlight w:val="none"/>
        </w:rPr>
        <w:t xml:space="preserve">（一）具体按招标文件售后服务条款。</w:t>
      </w:r>
      <w:r/>
    </w:p>
    <w:p>
      <w:pPr>
        <w:ind w:firstLine="420"/>
        <w:spacing w:line="360" w:lineRule="auto"/>
        <w:tabs>
          <w:tab w:val="left" w:pos="900" w:leader="none"/>
        </w:tabs>
        <w:rPr>
          <w:rFonts w:ascii="宋体" w:hAnsi="宋体" w:cs="宋体"/>
          <w:color w:val="auto"/>
          <w:highlight w:val="none"/>
        </w:rPr>
      </w:pPr>
      <w:r>
        <w:rPr>
          <w:rFonts w:hint="eastAsia" w:ascii="宋体" w:hAnsi="宋体" w:cs="宋体"/>
          <w:color w:val="auto"/>
          <w:highlight w:val="none"/>
        </w:rPr>
        <w:t xml:space="preserve">（二）其他要求按乙方投标文件承诺的条款执行。</w:t>
      </w:r>
      <w:r/>
    </w:p>
    <w:p>
      <w:pPr>
        <w:jc w:val="left"/>
        <w:spacing w:line="360" w:lineRule="auto"/>
        <w:rPr>
          <w:rFonts w:ascii="宋体" w:hAnsi="宋体" w:cs="宋体"/>
          <w:b/>
          <w:color w:val="auto"/>
          <w:highlight w:val="none"/>
        </w:rPr>
      </w:pPr>
      <w:r>
        <w:rPr>
          <w:rFonts w:hint="eastAsia" w:ascii="宋体" w:hAnsi="宋体" w:cs="宋体"/>
          <w:b/>
          <w:color w:val="auto"/>
          <w:highlight w:val="none"/>
        </w:rPr>
        <w:t xml:space="preserve">七、税费：</w:t>
      </w:r>
      <w:r/>
    </w:p>
    <w:p>
      <w:pPr>
        <w:ind w:firstLine="420"/>
        <w:spacing w:line="360" w:lineRule="auto"/>
        <w:tabs>
          <w:tab w:val="left" w:pos="900" w:leader="none"/>
        </w:tabs>
        <w:rPr>
          <w:rFonts w:ascii="宋体" w:hAnsi="宋体" w:cs="宋体"/>
          <w:color w:val="auto"/>
          <w:highlight w:val="none"/>
        </w:rPr>
      </w:pPr>
      <w:r>
        <w:rPr>
          <w:rFonts w:hint="eastAsia" w:ascii="宋体" w:hAnsi="宋体" w:cs="宋体"/>
          <w:color w:val="auto"/>
          <w:szCs w:val="21"/>
          <w:highlight w:val="none"/>
        </w:rPr>
        <w:t xml:space="preserve">（一）</w:t>
      </w:r>
      <w:r>
        <w:rPr>
          <w:rFonts w:hint="eastAsia" w:ascii="宋体" w:hAnsi="宋体" w:cs="宋体"/>
          <w:color w:val="auto"/>
          <w:highlight w:val="none"/>
        </w:rPr>
        <w:t xml:space="preserve">根据国家有关税务法律、法规和规定，乙方应该交纳的与本合同有关的所有税费均由乙方承担。</w:t>
      </w:r>
      <w:r/>
    </w:p>
    <w:p>
      <w:pPr>
        <w:ind w:firstLine="420"/>
        <w:spacing w:line="360" w:lineRule="auto"/>
        <w:tabs>
          <w:tab w:val="left" w:pos="900" w:leader="none"/>
        </w:tabs>
        <w:rPr>
          <w:rFonts w:ascii="宋体" w:hAnsi="宋体" w:cs="宋体"/>
          <w:color w:val="auto"/>
          <w:highlight w:val="none"/>
        </w:rPr>
      </w:pPr>
      <w:r>
        <w:rPr>
          <w:rFonts w:hint="eastAsia" w:ascii="宋体" w:hAnsi="宋体" w:cs="宋体"/>
          <w:color w:val="auto"/>
          <w:highlight w:val="none"/>
        </w:rPr>
        <w:t xml:space="preserve">（二）本合同价格为含税价。乙方提供的所有货物、技术资料、技术服务、进口设备/部件等所有税费，已全部包含在合同价格内，由乙方承担。</w:t>
      </w:r>
      <w:r/>
    </w:p>
    <w:p>
      <w:pPr>
        <w:spacing w:line="360" w:lineRule="auto"/>
        <w:rPr>
          <w:rFonts w:ascii="宋体" w:hAnsi="宋体" w:cs="宋体"/>
          <w:b/>
          <w:color w:val="auto"/>
          <w:highlight w:val="none"/>
        </w:rPr>
      </w:pPr>
      <w:r>
        <w:rPr>
          <w:rFonts w:hint="eastAsia" w:ascii="宋体" w:hAnsi="宋体" w:cs="宋体"/>
          <w:b/>
          <w:color w:val="auto"/>
          <w:highlight w:val="none"/>
        </w:rPr>
        <w:t xml:space="preserve">八、违约责任：</w:t>
      </w:r>
      <w:r/>
    </w:p>
    <w:p>
      <w:pPr>
        <w:ind w:firstLine="420"/>
        <w:spacing w:line="360" w:lineRule="auto"/>
        <w:tabs>
          <w:tab w:val="left" w:pos="63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合同一方不履行合同义务或者履行合同义务不符合约定的，应当承担继续履行、采取补救措施或者赔偿损失等违约责任。</w:t>
      </w:r>
      <w:r/>
    </w:p>
    <w:p>
      <w:pPr>
        <w:ind w:firstLine="420"/>
        <w:spacing w:line="360" w:lineRule="auto"/>
        <w:tabs>
          <w:tab w:val="left" w:pos="63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（一）甲方违约责任</w:t>
      </w:r>
      <w:r/>
    </w:p>
    <w:p>
      <w:pPr>
        <w:ind w:firstLine="420"/>
        <w:spacing w:line="360" w:lineRule="auto"/>
        <w:tabs>
          <w:tab w:val="left" w:pos="63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在合同生效后，甲方要求退货的（产品质量不合格或乙方无法正常履约除外），应向乙方偿付合同总价款的5%，作为违约金，违约金不足以补偿损失的，乙方有权要求甲方补足。</w:t>
      </w:r>
      <w:r/>
    </w:p>
    <w:p>
      <w:pPr>
        <w:ind w:firstLine="420"/>
        <w:spacing w:line="360" w:lineRule="auto"/>
        <w:tabs>
          <w:tab w:val="left" w:pos="63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（二）乙方违约责任</w:t>
      </w:r>
      <w:r/>
    </w:p>
    <w:p>
      <w:pPr>
        <w:ind w:firstLine="420"/>
        <w:spacing w:line="360" w:lineRule="auto"/>
        <w:tabs>
          <w:tab w:val="left" w:pos="63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乙方不能交货（逾期超过十五天视为不能交货），或交货不合格从而影响甲方按期正常使用的，甲方有权解除合同，并要求乙方退还全部货款同时乙方应当承担合同总金额的30%作为违约金，违约金不足以弥补甲方损失的应当补足。</w:t>
      </w:r>
      <w:r/>
    </w:p>
    <w:p>
      <w:pPr>
        <w:ind w:firstLine="420"/>
        <w:spacing w:line="360" w:lineRule="auto"/>
        <w:tabs>
          <w:tab w:val="left" w:pos="63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乙方逾期交货的，应在发货前与甲方和政府采购管理部门协商，甲方仍需求的，乙方应立即发货并应按照逾期交货部分货款的每十五天千分之四支付逾期交货违约金，同时承担甲方因此遭致的损失费用。</w:t>
      </w:r>
      <w:r/>
    </w:p>
    <w:p>
      <w:pPr>
        <w:ind w:firstLine="420"/>
        <w:spacing w:line="360" w:lineRule="auto"/>
        <w:tabs>
          <w:tab w:val="left" w:pos="63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（三）不可抗力</w:t>
      </w:r>
      <w:r/>
    </w:p>
    <w:p>
      <w:pPr>
        <w:ind w:firstLine="420"/>
        <w:spacing w:line="360" w:lineRule="auto"/>
        <w:tabs>
          <w:tab w:val="left" w:pos="63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因不可抗力不能履行合同的，根据不可抗力的影响，部分或者全部免除责任。但合同一方迟延履行后发生不可抗力的，不能免除责任。</w:t>
      </w:r>
      <w:r/>
    </w:p>
    <w:p>
      <w:pPr>
        <w:ind w:firstLine="420"/>
        <w:spacing w:line="360" w:lineRule="auto"/>
        <w:tabs>
          <w:tab w:val="left" w:pos="63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合同一方因不可抗力不能履行合同的，应当及时通知对方，以减轻可能给对方造成的损失，并应当在合理期限内提供证明。</w:t>
      </w:r>
      <w:r/>
    </w:p>
    <w:p>
      <w:pPr>
        <w:ind w:firstLine="420"/>
        <w:spacing w:line="360" w:lineRule="auto"/>
        <w:tabs>
          <w:tab w:val="left" w:pos="63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（四）合同的解除和转让</w:t>
      </w:r>
      <w:r/>
    </w:p>
    <w:p>
      <w:pPr>
        <w:ind w:firstLine="420"/>
        <w:spacing w:line="360" w:lineRule="auto"/>
        <w:tabs>
          <w:tab w:val="left" w:pos="63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有下列情形之一，合同一方可以解除合同：</w:t>
      </w:r>
      <w:r/>
    </w:p>
    <w:p>
      <w:pPr>
        <w:ind w:firstLine="420"/>
        <w:spacing w:line="360" w:lineRule="auto"/>
        <w:tabs>
          <w:tab w:val="left" w:pos="630" w:leader="none"/>
        </w:tabs>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1.1</w:t>
      </w:r>
      <w:r>
        <w:rPr>
          <w:rFonts w:hint="eastAsia" w:ascii="宋体" w:hAnsi="宋体" w:cs="宋体"/>
          <w:color w:val="auto"/>
          <w:szCs w:val="21"/>
          <w:highlight w:val="none"/>
        </w:rPr>
        <w:t xml:space="preserve">、因不可抗力致使不能实现合同目的，未受不可抗力影响的一方有权解除合同；</w:t>
      </w:r>
      <w:r/>
    </w:p>
    <w:p>
      <w:pPr>
        <w:ind w:firstLine="420"/>
        <w:spacing w:line="360" w:lineRule="auto"/>
        <w:tabs>
          <w:tab w:val="left" w:pos="630" w:leader="none"/>
        </w:tabs>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1.2</w:t>
      </w:r>
      <w:r>
        <w:rPr>
          <w:rFonts w:hint="eastAsia" w:ascii="宋体" w:hAnsi="宋体" w:cs="宋体"/>
          <w:color w:val="auto"/>
          <w:szCs w:val="21"/>
          <w:highlight w:val="none"/>
        </w:rPr>
        <w:t xml:space="preserve">、因合同一方违约导致合同不能履行，另一方有权解除合同；</w:t>
      </w:r>
      <w:r/>
    </w:p>
    <w:p>
      <w:pPr>
        <w:ind w:firstLine="420"/>
        <w:spacing w:line="360" w:lineRule="auto"/>
        <w:tabs>
          <w:tab w:val="left" w:pos="630" w:leader="none"/>
        </w:tabs>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有权解除合同的一方，应当在违约事实或不可抗力发生之后三十天内书面通知对方以主张解除合同，合同在书面通知到达对方时解除。</w:t>
      </w:r>
      <w:r/>
    </w:p>
    <w:p>
      <w:pPr>
        <w:ind w:firstLine="420"/>
        <w:spacing w:line="360" w:lineRule="auto"/>
        <w:tabs>
          <w:tab w:val="left" w:pos="630" w:leader="none"/>
        </w:tabs>
        <w:rPr>
          <w:rFonts w:hint="eastAsia" w:ascii="宋体" w:hAnsi="宋体" w:eastAsia="宋体"/>
          <w:sz w:val="21"/>
          <w:szCs w:val="21"/>
          <w:highlight w:val="none"/>
        </w:rPr>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除合同另有约定外，乙方不得擅自解除合同，否则除应退还甲方全部已支付款项外，还应当承担合同总金额30%的违约金，违约金不足以弥补损失的应当补足</w:t>
      </w:r>
      <w:r>
        <w:rPr>
          <w:rFonts w:hint="eastAsia" w:ascii="宋体" w:hAnsi="宋体" w:cs="宋体"/>
          <w:color w:val="auto"/>
          <w:szCs w:val="21"/>
          <w:highlight w:val="none"/>
          <w:lang w:eastAsia="zh-CN"/>
        </w:rPr>
        <w:t xml:space="preserve">。</w:t>
      </w:r>
      <w:r/>
    </w:p>
    <w:p>
      <w:pPr>
        <w:spacing w:line="360" w:lineRule="auto"/>
        <w:rPr>
          <w:rFonts w:ascii="宋体" w:hAnsi="宋体" w:cs="宋体"/>
          <w:b/>
          <w:color w:val="auto"/>
          <w:highlight w:val="none"/>
        </w:rPr>
      </w:pPr>
      <w:r>
        <w:rPr>
          <w:rFonts w:hint="eastAsia" w:ascii="宋体" w:hAnsi="宋体" w:cs="宋体"/>
          <w:b/>
          <w:color w:val="auto"/>
          <w:highlight w:val="none"/>
        </w:rPr>
        <w:t xml:space="preserve">九、索赔：</w:t>
      </w:r>
      <w:r/>
    </w:p>
    <w:p>
      <w:pPr>
        <w:ind w:firstLine="420"/>
        <w:spacing w:line="360" w:lineRule="auto"/>
        <w:tabs>
          <w:tab w:val="left" w:pos="900" w:leader="none"/>
        </w:tabs>
        <w:rPr>
          <w:rFonts w:ascii="宋体" w:hAnsi="宋体" w:cs="宋体"/>
          <w:color w:val="auto"/>
          <w:highlight w:val="none"/>
        </w:rPr>
      </w:pPr>
      <w:r>
        <w:rPr>
          <w:rFonts w:hint="eastAsia" w:ascii="宋体" w:hAnsi="宋体" w:cs="宋体"/>
          <w:color w:val="auto"/>
          <w:highlight w:val="none"/>
        </w:rPr>
        <w:t xml:space="preserve">（一）甲方有权根据产品质量检验机构或其它有权部门出具的检验证书向乙方提出索赔。</w:t>
      </w:r>
      <w:r/>
    </w:p>
    <w:p>
      <w:pPr>
        <w:ind w:firstLine="420"/>
        <w:spacing w:line="360" w:lineRule="auto"/>
        <w:tabs>
          <w:tab w:val="left" w:pos="900" w:leader="none"/>
        </w:tabs>
        <w:rPr>
          <w:rFonts w:ascii="宋体" w:hAnsi="宋体" w:cs="宋体"/>
          <w:color w:val="auto"/>
          <w:highlight w:val="none"/>
        </w:rPr>
      </w:pPr>
      <w:r>
        <w:rPr>
          <w:rFonts w:hint="eastAsia" w:ascii="宋体" w:hAnsi="宋体" w:cs="宋体"/>
          <w:color w:val="auto"/>
          <w:highlight w:val="none"/>
        </w:rPr>
        <w:t xml:space="preserve">（二）合同货物如发生由于制造、运输、工艺或材料缺陷而造成的质量问题，乙方必须按上述售后服务条款规定的时间内作出答复及派遣专业工作人员到现场处理。如果乙方对甲方提出的索赔负有责任，乙方应负责修理、更换或退货，并承担由此发生的一切损失和费用。如逾期不予答复和处理，则视为上述索赔已被接受，乙方应承担由此发生的一切损失和费用。</w:t>
      </w:r>
      <w:r/>
    </w:p>
    <w:p>
      <w:pPr>
        <w:ind w:firstLine="420"/>
        <w:spacing w:line="360" w:lineRule="auto"/>
        <w:tabs>
          <w:tab w:val="left" w:pos="900" w:leader="none"/>
        </w:tabs>
        <w:rPr>
          <w:rFonts w:ascii="宋体" w:hAnsi="宋体" w:cs="宋体"/>
          <w:color w:val="auto"/>
          <w:highlight w:val="none"/>
        </w:rPr>
      </w:pPr>
      <w:r>
        <w:rPr>
          <w:rFonts w:hint="eastAsia" w:ascii="宋体" w:hAnsi="宋体" w:cs="宋体"/>
          <w:color w:val="auto"/>
          <w:highlight w:val="none"/>
        </w:rPr>
        <w:t xml:space="preserve">（三）在本合同执行过程中，如由于乙方原因造成甲方或第三人人身伤害，或因乙方的故意行为或重大过失致使甲方或第三人财产损失的，乙方应依法承担赔偿责任。</w:t>
      </w:r>
      <w:r/>
    </w:p>
    <w:p>
      <w:pPr>
        <w:spacing w:line="360" w:lineRule="auto"/>
        <w:rPr>
          <w:rFonts w:ascii="宋体" w:hAnsi="宋体" w:cs="宋体"/>
          <w:bCs/>
          <w:color w:val="auto"/>
          <w:highlight w:val="none"/>
        </w:rPr>
      </w:pPr>
      <w:r>
        <w:rPr>
          <w:rFonts w:hint="eastAsia" w:ascii="宋体" w:hAnsi="宋体" w:cs="宋体"/>
          <w:b/>
          <w:bCs/>
          <w:color w:val="auto"/>
          <w:szCs w:val="28"/>
          <w:highlight w:val="none"/>
          <w:lang w:val="zh-CN"/>
        </w:rPr>
        <w:t xml:space="preserve">十、</w:t>
      </w:r>
      <w:r>
        <w:rPr>
          <w:rFonts w:hint="eastAsia" w:ascii="宋体" w:hAnsi="宋体" w:cs="宋体"/>
          <w:b/>
          <w:color w:val="auto"/>
          <w:highlight w:val="none"/>
        </w:rPr>
        <w:t xml:space="preserve">合同生效及其它</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rPr>
        <w:t xml:space="preserve"> 1、</w:t>
      </w:r>
      <w:r>
        <w:rPr>
          <w:rFonts w:hint="eastAsia" w:ascii="宋体" w:hAnsi="宋体" w:cs="宋体"/>
          <w:color w:val="auto"/>
          <w:highlight w:val="none"/>
          <w:lang w:val="zh-CN"/>
        </w:rPr>
        <w:t xml:space="preserve">本合同经甲乙双方法定代表人或其委托代理人签字并加盖公章（或合同章）后生效。</w:t>
      </w:r>
      <w:r/>
    </w:p>
    <w:p>
      <w:pPr>
        <w:ind w:firstLine="422"/>
        <w:spacing w:line="360" w:lineRule="auto"/>
        <w:rPr>
          <w:rFonts w:ascii="宋体" w:hAnsi="宋体" w:cs="宋体"/>
          <w:color w:val="auto"/>
          <w:highlight w:val="none"/>
        </w:rPr>
      </w:pPr>
      <w:r>
        <w:rPr>
          <w:rFonts w:hint="eastAsia" w:ascii="宋体" w:hAnsi="宋体" w:cs="宋体"/>
          <w:color w:val="auto"/>
          <w:highlight w:val="none"/>
        </w:rPr>
        <w:t xml:space="preserve">  2、合同在执行过程中出现的未尽事宜，双方在不违背本合同和招标文件的原则下协商解决，协商结果以书面形式盖章记录在案，作为本合同的附件，与本合同具有同等效力，但需向招标代理机构和政府采购管理部门提交一份备存。</w:t>
      </w:r>
      <w:r/>
    </w:p>
    <w:p>
      <w:pPr>
        <w:ind w:firstLine="422"/>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rPr>
        <w:t xml:space="preserve">3、</w:t>
      </w:r>
      <w:r>
        <w:rPr>
          <w:rFonts w:hint="eastAsia" w:ascii="宋体" w:hAnsi="宋体" w:cs="宋体"/>
          <w:color w:val="auto"/>
          <w:highlight w:val="none"/>
          <w:lang w:val="en-US" w:eastAsia="zh-CN"/>
        </w:rPr>
        <w:t xml:space="preserve">争议的解决：</w:t>
      </w:r>
      <w:r>
        <w:rPr>
          <w:rFonts w:hint="eastAsia" w:ascii="宋体" w:hAnsi="宋体"/>
          <w:color w:val="auto"/>
          <w:szCs w:val="21"/>
          <w:highlight w:val="none"/>
        </w:rPr>
        <w:t xml:space="preserve">甲乙双方因合同发生争议，应在招标代理机构的主持下进行调解，协商不成，任何一方可以</w:t>
      </w:r>
      <w:r>
        <w:rPr>
          <w:rFonts w:hint="eastAsia" w:ascii="宋体" w:hAnsi="宋体"/>
          <w:color w:val="auto"/>
          <w:szCs w:val="21"/>
          <w:highlight w:val="none"/>
          <w:lang w:val="en-US" w:eastAsia="zh-CN"/>
        </w:rPr>
        <w:t xml:space="preserve">向</w:t>
      </w:r>
      <w:r>
        <w:rPr>
          <w:rFonts w:hint="eastAsia" w:ascii="宋体" w:hAnsi="宋体"/>
          <w:color w:val="auto"/>
          <w:szCs w:val="21"/>
          <w:highlight w:val="none"/>
        </w:rPr>
        <w:t xml:space="preserve">甲方所在地人民法院起诉。违约方承担由此产生的费用（包括但不限于律师费、诉讼费、保全费、保险费、差旅费等）</w:t>
      </w:r>
      <w:r>
        <w:rPr>
          <w:rFonts w:hint="eastAsia" w:ascii="宋体" w:hAnsi="宋体"/>
          <w:color w:val="auto"/>
          <w:szCs w:val="21"/>
          <w:highlight w:val="none"/>
          <w:lang w:eastAsia="zh-CN"/>
        </w:rPr>
        <w:t xml:space="preserve">。</w:t>
      </w:r>
      <w:r/>
    </w:p>
    <w:p>
      <w:pPr>
        <w:ind w:firstLine="422"/>
        <w:spacing w:line="360" w:lineRule="auto"/>
        <w:rPr>
          <w:rFonts w:ascii="宋体" w:hAnsi="宋体" w:cs="宋体"/>
          <w:color w:val="auto"/>
          <w:highlight w:val="none"/>
        </w:rPr>
      </w:pP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未尽事宜：本合同未尽事宜应按《中华人民共和国民法典》、《中华人民共和国政府采购法》以及其同相关法律、法规之规定解释。</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、本合同一式肆份，甲方贰份、乙方壹份、招标代理机构执壹份，具备同等法律效力</w:t>
      </w:r>
      <w:r>
        <w:rPr>
          <w:rFonts w:hint="eastAsia" w:ascii="宋体" w:hAnsi="宋体" w:cs="宋体"/>
          <w:color w:val="auto"/>
          <w:highlight w:val="none"/>
          <w:lang w:val="zh-CN"/>
        </w:rPr>
        <w:t xml:space="preserve">。</w:t>
      </w:r>
      <w:r/>
    </w:p>
    <w:p>
      <w:pPr>
        <w:ind w:firstLine="422"/>
        <w:spacing w:line="360" w:lineRule="auto"/>
        <w:rPr>
          <w:rFonts w:ascii="宋体" w:hAnsi="宋体" w:cs="宋体"/>
          <w:color w:val="auto"/>
          <w:highlight w:val="none"/>
          <w:lang w:val="zh-CN"/>
        </w:rPr>
      </w:pPr>
      <w:r>
        <w:rPr>
          <w:rFonts w:ascii="宋体" w:hAnsi="宋体" w:cs="宋体"/>
          <w:color w:val="auto"/>
          <w:highlight w:val="none"/>
          <w:lang w:val="zh-CN"/>
        </w:rPr>
      </w:r>
      <w:r/>
    </w:p>
    <w:p>
      <w:pPr>
        <w:pStyle w:val="1024"/>
        <w:ind w:firstLine="400"/>
        <w:tabs>
          <w:tab w:val="center" w:pos="4201" w:leader="none"/>
          <w:tab w:val="right" w:pos="9298" w:leader="dot"/>
        </w:tabs>
        <w:rPr>
          <w:color w:val="auto"/>
          <w:highlight w:val="none"/>
          <w:lang w:val="zh-CN"/>
        </w:rPr>
      </w:pPr>
      <w:r>
        <w:rPr>
          <w:color w:val="auto"/>
          <w:highlight w:val="none"/>
          <w:lang w:val="zh-CN"/>
        </w:rPr>
      </w:r>
      <w:r/>
    </w:p>
    <w:p>
      <w:pPr>
        <w:spacing w:line="480" w:lineRule="auto"/>
        <w:tabs>
          <w:tab w:val="left" w:pos="0" w:leader="none"/>
        </w:tabs>
        <w:rPr>
          <w:rFonts w:ascii="宋体" w:hAnsi="宋体"/>
          <w:b/>
          <w:bCs/>
          <w:color w:val="auto"/>
          <w:szCs w:val="21"/>
          <w:highlight w:val="none"/>
        </w:rPr>
      </w:pPr>
      <w:r>
        <w:rPr>
          <w:rFonts w:hint="eastAsia" w:ascii="宋体" w:hAnsi="宋体"/>
          <w:b/>
          <w:bCs/>
          <w:color w:val="auto"/>
          <w:szCs w:val="21"/>
          <w:highlight w:val="none"/>
          <w:lang w:val="zh-CN"/>
        </w:rPr>
        <w:t xml:space="preserve">甲方</w:t>
      </w:r>
      <w:r>
        <w:rPr>
          <w:rFonts w:ascii="宋体" w:hAnsi="宋体"/>
          <w:b/>
          <w:bCs/>
          <w:color w:val="auto"/>
          <w:szCs w:val="21"/>
          <w:highlight w:val="none"/>
        </w:rPr>
        <w:t xml:space="preserve">(</w:t>
      </w:r>
      <w:r>
        <w:rPr>
          <w:rFonts w:hint="eastAsia" w:ascii="宋体" w:hAnsi="宋体"/>
          <w:b/>
          <w:bCs/>
          <w:color w:val="auto"/>
          <w:szCs w:val="21"/>
          <w:highlight w:val="none"/>
          <w:lang w:val="zh-CN"/>
        </w:rPr>
        <w:t xml:space="preserve">公章或合同章</w:t>
      </w:r>
      <w:r>
        <w:rPr>
          <w:rFonts w:ascii="宋体" w:hAnsi="宋体"/>
          <w:b/>
          <w:bCs/>
          <w:color w:val="auto"/>
          <w:szCs w:val="21"/>
          <w:highlight w:val="none"/>
        </w:rPr>
        <w:t xml:space="preserve">)</w:t>
      </w:r>
      <w:r>
        <w:rPr>
          <w:rFonts w:hint="eastAsia" w:ascii="宋体" w:hAnsi="宋体"/>
          <w:b/>
          <w:bCs/>
          <w:color w:val="auto"/>
          <w:szCs w:val="21"/>
          <w:highlight w:val="none"/>
        </w:rPr>
        <w:t xml:space="preserve">：                        </w:t>
      </w:r>
      <w:r>
        <w:rPr>
          <w:rFonts w:hint="eastAsia" w:ascii="宋体" w:hAnsi="宋体"/>
          <w:b/>
          <w:bCs/>
          <w:color w:val="auto"/>
          <w:szCs w:val="21"/>
          <w:highlight w:val="none"/>
          <w:lang w:val="zh-CN"/>
        </w:rPr>
        <w:t xml:space="preserve">乙方</w:t>
      </w:r>
      <w:r>
        <w:rPr>
          <w:rFonts w:hint="eastAsia" w:ascii="宋体" w:hAnsi="宋体"/>
          <w:b/>
          <w:bCs/>
          <w:color w:val="auto"/>
          <w:szCs w:val="21"/>
          <w:highlight w:val="none"/>
        </w:rPr>
        <w:t xml:space="preserve">（</w:t>
      </w:r>
      <w:r>
        <w:rPr>
          <w:rFonts w:hint="eastAsia" w:ascii="宋体" w:hAnsi="宋体"/>
          <w:b/>
          <w:bCs/>
          <w:color w:val="auto"/>
          <w:szCs w:val="21"/>
          <w:highlight w:val="none"/>
          <w:lang w:val="zh-CN"/>
        </w:rPr>
        <w:t xml:space="preserve">公章或合同章</w:t>
      </w:r>
      <w:r>
        <w:rPr>
          <w:rFonts w:hint="eastAsia" w:ascii="宋体" w:hAnsi="宋体"/>
          <w:b/>
          <w:bCs/>
          <w:color w:val="auto"/>
          <w:szCs w:val="21"/>
          <w:highlight w:val="none"/>
        </w:rPr>
        <w:t xml:space="preserve">）：</w:t>
      </w:r>
      <w:r/>
    </w:p>
    <w:p>
      <w:pPr>
        <w:pStyle w:val="1024"/>
        <w:ind w:firstLine="400"/>
        <w:tabs>
          <w:tab w:val="center" w:pos="4201" w:leader="none"/>
          <w:tab w:val="right" w:pos="9298" w:leader="dot"/>
        </w:tabs>
        <w:rPr>
          <w:color w:val="auto"/>
          <w:highlight w:val="none"/>
        </w:rPr>
      </w:pPr>
      <w:r>
        <w:rPr>
          <w:color w:val="auto"/>
          <w:highlight w:val="none"/>
        </w:rPr>
      </w:r>
      <w:r/>
    </w:p>
    <w:p>
      <w:pPr>
        <w:spacing w:line="480" w:lineRule="auto"/>
        <w:tabs>
          <w:tab w:val="left" w:pos="0" w:leader="none"/>
        </w:tabs>
        <w:rPr>
          <w:rFonts w:ascii="宋体" w:hAnsi="宋体"/>
          <w:b/>
          <w:bCs/>
          <w:color w:val="auto"/>
          <w:szCs w:val="21"/>
          <w:highlight w:val="none"/>
          <w:lang w:val="zh-CN"/>
        </w:rPr>
      </w:pPr>
      <w:r>
        <w:rPr>
          <w:rFonts w:hint="eastAsia" w:ascii="宋体" w:hAnsi="宋体"/>
          <w:b/>
          <w:bCs/>
          <w:color w:val="auto"/>
          <w:szCs w:val="21"/>
          <w:highlight w:val="none"/>
        </w:rPr>
        <w:t xml:space="preserve">法定代表人或</w:t>
      </w:r>
      <w:r>
        <w:rPr>
          <w:rFonts w:hint="eastAsia" w:ascii="宋体" w:hAnsi="宋体"/>
          <w:b/>
          <w:bCs/>
          <w:color w:val="auto"/>
          <w:szCs w:val="21"/>
          <w:highlight w:val="none"/>
          <w:lang w:val="zh-CN"/>
        </w:rPr>
        <w:t xml:space="preserve">授权代理人（签字或盖章）：</w:t>
      </w:r>
      <w:r>
        <w:rPr>
          <w:rFonts w:ascii="宋体" w:hAnsi="宋体"/>
          <w:b/>
          <w:bCs/>
          <w:color w:val="auto"/>
          <w:szCs w:val="21"/>
          <w:highlight w:val="none"/>
          <w:lang w:val="zh-CN"/>
        </w:rPr>
        <w:tab/>
      </w:r>
      <w:r>
        <w:rPr>
          <w:rFonts w:ascii="宋体" w:hAnsi="宋体"/>
          <w:b/>
          <w:bCs/>
          <w:color w:val="auto"/>
          <w:szCs w:val="21"/>
          <w:highlight w:val="none"/>
          <w:lang w:val="zh-CN"/>
        </w:rPr>
        <w:tab/>
      </w:r>
      <w:r>
        <w:rPr>
          <w:rFonts w:hint="eastAsia" w:ascii="宋体" w:hAnsi="宋体"/>
          <w:b/>
          <w:bCs/>
          <w:color w:val="auto"/>
          <w:szCs w:val="21"/>
          <w:highlight w:val="none"/>
        </w:rPr>
        <w:t xml:space="preserve">法定代表人或</w:t>
      </w:r>
      <w:r>
        <w:rPr>
          <w:rFonts w:hint="eastAsia" w:ascii="宋体" w:hAnsi="宋体"/>
          <w:b/>
          <w:bCs/>
          <w:color w:val="auto"/>
          <w:szCs w:val="21"/>
          <w:highlight w:val="none"/>
          <w:lang w:val="zh-CN"/>
        </w:rPr>
        <w:t xml:space="preserve">授权代理人（签字或盖章）：</w:t>
      </w:r>
      <w:r>
        <w:rPr>
          <w:rFonts w:ascii="宋体" w:hAnsi="宋体"/>
          <w:b/>
          <w:bCs/>
          <w:color w:val="auto"/>
          <w:szCs w:val="21"/>
          <w:highlight w:val="none"/>
          <w:lang w:val="zh-CN"/>
        </w:rPr>
        <w:tab/>
      </w:r>
      <w:r/>
    </w:p>
    <w:p>
      <w:pPr>
        <w:pStyle w:val="1078"/>
        <w:ind w:firstLine="420"/>
        <w:rPr>
          <w:color w:val="auto"/>
          <w:highlight w:val="none"/>
        </w:rPr>
      </w:pPr>
      <w:r>
        <w:rPr>
          <w:color w:val="auto"/>
          <w:highlight w:val="none"/>
        </w:rPr>
      </w:r>
      <w:r/>
    </w:p>
    <w:p>
      <w:pPr>
        <w:spacing w:line="360" w:lineRule="auto"/>
        <w:rPr>
          <w:rFonts w:hint="eastAsia" w:ascii="宋体" w:hAnsi="宋体" w:eastAsia="宋体"/>
          <w:sz w:val="21"/>
          <w:szCs w:val="21"/>
          <w:highlight w:val="none"/>
        </w:rPr>
      </w:pPr>
      <w:r>
        <w:rPr>
          <w:rFonts w:hint="eastAsia" w:ascii="宋体" w:hAnsi="宋体"/>
          <w:b/>
          <w:bCs/>
          <w:color w:val="auto"/>
          <w:szCs w:val="21"/>
          <w:highlight w:val="none"/>
        </w:rPr>
        <w:t xml:space="preserve">合同签订日期： </w:t>
      </w:r>
      <w:r>
        <w:rPr>
          <w:rFonts w:hint="eastAsia" w:ascii="宋体" w:hAnsi="宋体"/>
          <w:b/>
          <w:bCs/>
          <w:color w:val="auto"/>
          <w:szCs w:val="21"/>
          <w:highlight w:val="none"/>
          <w:lang w:val="zh-CN"/>
        </w:rPr>
        <w:t xml:space="preserve">     年月日                  </w:t>
      </w:r>
      <w:r>
        <w:rPr>
          <w:rFonts w:hint="eastAsia" w:ascii="宋体" w:hAnsi="宋体"/>
          <w:b/>
          <w:bCs/>
          <w:color w:val="auto"/>
          <w:szCs w:val="21"/>
          <w:highlight w:val="none"/>
        </w:rPr>
        <w:t xml:space="preserve">合同签订日期： </w:t>
      </w:r>
      <w:r>
        <w:rPr>
          <w:rFonts w:hint="eastAsia" w:ascii="宋体" w:hAnsi="宋体"/>
          <w:b/>
          <w:bCs/>
          <w:color w:val="auto"/>
          <w:szCs w:val="21"/>
          <w:highlight w:val="none"/>
          <w:lang w:val="zh-CN"/>
        </w:rPr>
        <w:t xml:space="preserve">     年月日</w:t>
      </w:r>
      <w:r/>
    </w:p>
    <w:p>
      <w:pPr>
        <w:spacing w:line="360" w:lineRule="auto"/>
        <w:rPr>
          <w:rFonts w:hint="eastAsia" w:ascii="宋体" w:hAnsi="宋体" w:eastAsia="宋体"/>
          <w:sz w:val="21"/>
          <w:szCs w:val="21"/>
          <w:highlight w:val="none"/>
        </w:rPr>
      </w:pPr>
      <w:r>
        <w:rPr>
          <w:rFonts w:hint="eastAsia" w:ascii="宋体" w:hAnsi="宋体" w:eastAsia="宋体"/>
          <w:sz w:val="21"/>
          <w:szCs w:val="21"/>
          <w:highlight w:val="none"/>
        </w:rPr>
      </w:r>
      <w:r/>
    </w:p>
    <w:p>
      <w:pPr>
        <w:spacing w:line="360" w:lineRule="auto"/>
        <w:rPr>
          <w:rFonts w:hint="eastAsia" w:ascii="宋体" w:hAnsi="宋体" w:eastAsia="宋体"/>
          <w:sz w:val="21"/>
          <w:szCs w:val="21"/>
          <w:highlight w:val="none"/>
        </w:rPr>
      </w:pPr>
      <w:r>
        <w:rPr>
          <w:rFonts w:hint="eastAsia" w:ascii="宋体" w:hAnsi="宋体" w:eastAsia="宋体"/>
          <w:sz w:val="21"/>
          <w:szCs w:val="21"/>
          <w:highlight w:val="none"/>
        </w:rPr>
      </w:r>
      <w:r/>
    </w:p>
    <w:p>
      <w:pPr>
        <w:spacing w:line="360" w:lineRule="auto"/>
        <w:rPr>
          <w:rFonts w:hint="eastAsia" w:ascii="宋体" w:hAnsi="宋体" w:eastAsia="宋体"/>
          <w:sz w:val="21"/>
          <w:szCs w:val="21"/>
          <w:highlight w:val="none"/>
        </w:rPr>
      </w:pPr>
      <w:r>
        <w:rPr>
          <w:rFonts w:hint="eastAsia" w:ascii="宋体" w:hAnsi="宋体" w:eastAsia="宋体"/>
          <w:sz w:val="21"/>
          <w:szCs w:val="21"/>
          <w:highlight w:val="none"/>
        </w:rPr>
      </w:r>
      <w:r/>
    </w:p>
    <w:p>
      <w:pPr>
        <w:spacing w:line="360" w:lineRule="auto"/>
        <w:rPr>
          <w:rFonts w:hint="eastAsia" w:ascii="宋体" w:hAnsi="宋体" w:eastAsia="宋体"/>
          <w:sz w:val="21"/>
          <w:szCs w:val="21"/>
          <w:highlight w:val="none"/>
        </w:rPr>
      </w:pPr>
      <w:r>
        <w:rPr>
          <w:rFonts w:hint="eastAsia" w:ascii="宋体" w:hAnsi="宋体" w:eastAsia="宋体"/>
          <w:sz w:val="21"/>
          <w:szCs w:val="21"/>
          <w:highlight w:val="none"/>
        </w:rPr>
      </w:r>
      <w:r/>
    </w:p>
    <w:p>
      <w:pPr>
        <w:spacing w:line="360" w:lineRule="auto"/>
        <w:rPr>
          <w:rFonts w:hint="eastAsia" w:ascii="宋体" w:hAnsi="宋体" w:eastAsia="宋体"/>
          <w:sz w:val="21"/>
          <w:szCs w:val="21"/>
          <w:highlight w:val="none"/>
        </w:rPr>
      </w:pPr>
      <w:r>
        <w:rPr>
          <w:rFonts w:hint="eastAsia" w:ascii="宋体" w:hAnsi="宋体" w:eastAsia="宋体"/>
          <w:sz w:val="21"/>
          <w:szCs w:val="21"/>
          <w:highlight w:val="none"/>
        </w:rPr>
      </w:r>
      <w:r/>
    </w:p>
    <w:p>
      <w:pPr>
        <w:spacing w:line="360" w:lineRule="auto"/>
        <w:rPr>
          <w:rFonts w:hint="eastAsia" w:ascii="宋体" w:hAnsi="宋体" w:eastAsia="宋体"/>
          <w:sz w:val="21"/>
          <w:szCs w:val="21"/>
          <w:highlight w:val="none"/>
        </w:rPr>
      </w:pPr>
      <w:r>
        <w:rPr>
          <w:rFonts w:hint="eastAsia" w:ascii="宋体" w:hAnsi="宋体" w:eastAsia="宋体"/>
          <w:sz w:val="21"/>
          <w:szCs w:val="21"/>
          <w:highlight w:val="none"/>
        </w:rPr>
      </w:r>
      <w:r/>
    </w:p>
    <w:p>
      <w:pPr>
        <w:spacing w:line="360" w:lineRule="auto"/>
        <w:rPr>
          <w:rFonts w:hint="eastAsia" w:ascii="宋体" w:hAnsi="宋体" w:eastAsia="宋体"/>
          <w:sz w:val="21"/>
          <w:szCs w:val="21"/>
          <w:highlight w:val="none"/>
        </w:rPr>
      </w:pPr>
      <w:r>
        <w:rPr>
          <w:rFonts w:hint="eastAsia" w:ascii="宋体" w:hAnsi="宋体" w:eastAsia="宋体"/>
          <w:sz w:val="21"/>
          <w:szCs w:val="21"/>
          <w:highlight w:val="none"/>
        </w:rPr>
      </w:r>
      <w:r/>
    </w:p>
    <w:p>
      <w:pPr>
        <w:spacing w:line="360" w:lineRule="auto"/>
        <w:rPr>
          <w:rFonts w:hint="eastAsia" w:ascii="宋体" w:hAnsi="宋体" w:eastAsia="宋体"/>
          <w:sz w:val="21"/>
          <w:szCs w:val="21"/>
          <w:highlight w:val="none"/>
        </w:rPr>
      </w:pPr>
      <w:r>
        <w:rPr>
          <w:rFonts w:hint="eastAsia" w:ascii="宋体" w:hAnsi="宋体" w:eastAsia="宋体"/>
          <w:sz w:val="21"/>
          <w:szCs w:val="21"/>
          <w:highlight w:val="none"/>
        </w:rPr>
      </w:r>
      <w:r/>
    </w:p>
    <w:p>
      <w:pPr>
        <w:spacing w:line="360" w:lineRule="auto"/>
        <w:rPr>
          <w:rFonts w:hint="eastAsia" w:ascii="宋体" w:hAnsi="宋体" w:eastAsia="宋体"/>
          <w:sz w:val="21"/>
          <w:szCs w:val="21"/>
          <w:highlight w:val="none"/>
        </w:rPr>
      </w:pPr>
      <w:r>
        <w:rPr>
          <w:rFonts w:hint="eastAsia" w:ascii="宋体" w:hAnsi="宋体" w:eastAsia="宋体"/>
          <w:sz w:val="21"/>
          <w:szCs w:val="21"/>
          <w:highlight w:val="none"/>
        </w:rPr>
      </w:r>
      <w:r/>
    </w:p>
    <w:p>
      <w:pPr>
        <w:spacing w:line="360" w:lineRule="auto"/>
        <w:rPr>
          <w:rFonts w:hint="eastAsia" w:ascii="宋体" w:hAnsi="宋体" w:eastAsia="宋体"/>
          <w:sz w:val="21"/>
          <w:szCs w:val="21"/>
          <w:highlight w:val="none"/>
        </w:rPr>
      </w:pPr>
      <w:r>
        <w:rPr>
          <w:rFonts w:hint="eastAsia" w:ascii="宋体" w:hAnsi="宋体" w:eastAsia="宋体"/>
          <w:sz w:val="21"/>
          <w:szCs w:val="21"/>
          <w:highlight w:val="none"/>
        </w:rPr>
      </w:r>
      <w:r/>
    </w:p>
    <w:p>
      <w:pPr>
        <w:spacing w:line="360" w:lineRule="auto"/>
        <w:rPr>
          <w:rFonts w:hint="eastAsia" w:ascii="宋体" w:hAnsi="宋体" w:eastAsia="宋体"/>
          <w:sz w:val="21"/>
          <w:szCs w:val="21"/>
          <w:highlight w:val="none"/>
        </w:rPr>
      </w:pPr>
      <w:r>
        <w:rPr>
          <w:rFonts w:hint="eastAsia" w:ascii="宋体" w:hAnsi="宋体" w:eastAsia="宋体"/>
          <w:sz w:val="21"/>
          <w:szCs w:val="21"/>
          <w:highlight w:val="none"/>
        </w:rPr>
      </w:r>
      <w:r/>
    </w:p>
    <w:p>
      <w:pPr>
        <w:spacing w:line="360" w:lineRule="auto"/>
        <w:rPr>
          <w:rFonts w:hint="eastAsia" w:ascii="宋体" w:hAnsi="宋体" w:eastAsia="宋体"/>
          <w:sz w:val="21"/>
          <w:szCs w:val="21"/>
          <w:highlight w:val="none"/>
        </w:rPr>
      </w:pPr>
      <w:r>
        <w:rPr>
          <w:rFonts w:hint="eastAsia" w:ascii="宋体" w:hAnsi="宋体" w:eastAsia="宋体"/>
          <w:sz w:val="21"/>
          <w:szCs w:val="21"/>
          <w:highlight w:val="none"/>
        </w:rPr>
      </w:r>
      <w:r/>
    </w:p>
    <w:p>
      <w:pPr>
        <w:spacing w:line="360" w:lineRule="auto"/>
        <w:rPr>
          <w:rFonts w:hint="eastAsia" w:ascii="宋体" w:hAnsi="宋体" w:eastAsia="宋体"/>
          <w:sz w:val="21"/>
          <w:szCs w:val="21"/>
          <w:highlight w:val="none"/>
        </w:rPr>
      </w:pPr>
      <w:r>
        <w:rPr>
          <w:rFonts w:hint="eastAsia" w:ascii="宋体" w:hAnsi="宋体" w:eastAsia="宋体"/>
          <w:sz w:val="21"/>
          <w:szCs w:val="21"/>
          <w:highlight w:val="none"/>
        </w:rPr>
      </w:r>
      <w:r/>
    </w:p>
    <w:p>
      <w:pPr>
        <w:spacing w:line="360" w:lineRule="auto"/>
        <w:rPr>
          <w:rFonts w:hint="eastAsia" w:ascii="宋体" w:hAnsi="宋体" w:eastAsia="宋体"/>
          <w:sz w:val="21"/>
          <w:szCs w:val="21"/>
          <w:highlight w:val="none"/>
        </w:rPr>
      </w:pPr>
      <w:r>
        <w:rPr>
          <w:rFonts w:hint="eastAsia" w:ascii="宋体" w:hAnsi="宋体" w:eastAsia="宋体"/>
          <w:sz w:val="21"/>
          <w:szCs w:val="21"/>
          <w:highlight w:val="none"/>
        </w:rPr>
      </w:r>
      <w:r/>
    </w:p>
    <w:p>
      <w:pPr>
        <w:jc w:val="center"/>
        <w:spacing w:line="360" w:lineRule="auto"/>
        <w:rPr>
          <w:rFonts w:hint="eastAsia" w:ascii="宋体" w:hAnsi="宋体" w:eastAsia="宋体" w:cs="宋体"/>
          <w:b/>
          <w:bCs/>
          <w:sz w:val="30"/>
          <w:szCs w:val="30"/>
          <w:highlight w:val="none"/>
        </w:rPr>
      </w:pPr>
      <w:r>
        <w:rPr>
          <w:rFonts w:hint="eastAsia" w:ascii="宋体" w:hAnsi="宋体" w:eastAsia="宋体" w:cs="宋体"/>
          <w:b/>
          <w:sz w:val="30"/>
          <w:szCs w:val="30"/>
          <w:highlight w:val="none"/>
        </w:rPr>
        <w:t xml:space="preserve">第六章  </w:t>
      </w:r>
      <w:r>
        <w:rPr>
          <w:rFonts w:hint="eastAsia" w:ascii="宋体" w:hAnsi="宋体" w:eastAsia="宋体" w:cs="宋体"/>
          <w:b/>
          <w:bCs/>
          <w:sz w:val="30"/>
          <w:szCs w:val="30"/>
          <w:highlight w:val="none"/>
        </w:rPr>
        <w:t xml:space="preserve">评标方法、评分标准</w:t>
      </w:r>
      <w:r/>
    </w:p>
    <w:p>
      <w:pPr>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一、评标办法：</w:t>
      </w:r>
      <w:r/>
    </w:p>
    <w:p>
      <w:pPr>
        <w:ind w:firstLine="422"/>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本次招标评标采用综合评分法，即在响应招标文件实质性要求前提下，按照招标文件中规定的评分标准和各项因素进行综合评审后，以评标总得分最高的投标单位作为中标单位。</w:t>
      </w:r>
      <w:r/>
    </w:p>
    <w:p>
      <w:pPr>
        <w:ind w:firstLine="422"/>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评标委员会各成员独立对每个进入打分程序的有效投标单位的标书技术和资质部分以打分的形式进行评审和评价。 </w:t>
      </w:r>
      <w:r/>
    </w:p>
    <w:p>
      <w:pPr>
        <w:ind w:firstLine="422"/>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对评委的评分(除价格分外)进行统计汇总，直接算术平均计算得分，计算出每个投标单位的得分（四舍五入保留两位小数），加上价格得分即为每个投标单位的综合得分（四舍五入保留两位小数）。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如出现评标总得分最高的投标单位有两个或两个以上的，以实际投标报价较低者优先作为中标单位，如果实际投标报价也相同的，则由评标委员会以抽签方式确定中标单位。</w:t>
      </w:r>
      <w:r/>
    </w:p>
    <w:p>
      <w:pPr>
        <w:ind w:firstLine="360"/>
        <w:spacing w:line="360" w:lineRule="auto"/>
        <w:tabs>
          <w:tab w:val="left" w:pos="567" w:leader="none"/>
        </w:tabs>
        <w:rPr>
          <w:rFonts w:hint="eastAsia" w:ascii="宋体" w:hAnsi="宋体" w:eastAsia="宋体" w:cs="宋体"/>
          <w:b/>
          <w:color w:val="000000"/>
          <w:sz w:val="21"/>
          <w:szCs w:val="21"/>
          <w:highlight w:val="none"/>
          <w:lang w:bidi="ar"/>
        </w:rPr>
      </w:pPr>
      <w:r>
        <w:rPr>
          <w:rFonts w:hint="eastAsia" w:ascii="宋体" w:hAnsi="宋体" w:cs="宋体"/>
          <w:color w:val="auto"/>
          <w:szCs w:val="21"/>
          <w:highlight w:val="none"/>
        </w:rPr>
        <w:t xml:space="preserve">5.</w:t>
      </w:r>
      <w:r>
        <w:rPr>
          <w:rFonts w:hint="eastAsia" w:ascii="宋体" w:hAnsi="宋体" w:cs="宋体"/>
          <w:b/>
          <w:bCs/>
          <w:color w:val="auto"/>
          <w:szCs w:val="21"/>
          <w:highlight w:val="none"/>
        </w:rPr>
        <w:t xml:space="preserve">本项目核心产品为</w:t>
      </w:r>
      <w:r>
        <w:rPr>
          <w:rFonts w:hint="eastAsia" w:ascii="宋体" w:hAnsi="宋体" w:cs="宋体"/>
          <w:b/>
          <w:bCs/>
          <w:color w:val="auto"/>
          <w:szCs w:val="21"/>
          <w:highlight w:val="none"/>
          <w:lang w:val="en-US" w:eastAsia="zh-CN"/>
        </w:rPr>
        <w:t xml:space="preserve">20型65mm超轻水带（白色）</w:t>
      </w:r>
      <w:r>
        <w:rPr>
          <w:rFonts w:hint="eastAsia" w:ascii="宋体" w:hAnsi="宋体" w:cs="宋体"/>
          <w:color w:val="auto"/>
          <w:szCs w:val="21"/>
          <w:highlight w:val="none"/>
        </w:rPr>
        <w:t xml:space="preserve">。</w:t>
      </w:r>
      <w:r>
        <w:rPr>
          <w:rFonts w:hint="eastAsia" w:ascii="宋体" w:hAnsi="宋体"/>
          <w:color w:val="auto"/>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color w:val="auto"/>
          <w:highlight w:val="none"/>
        </w:rPr>
        <w:t xml:space="preserve">非单一产品采购项目，多家投标人提供的核心产品品牌相同的，按照此规定处理。</w:t>
      </w:r>
      <w:r/>
    </w:p>
    <w:p>
      <w:pPr>
        <w:jc w:val="left"/>
        <w:spacing w:line="360" w:lineRule="auto"/>
        <w:rPr>
          <w:rFonts w:hint="eastAsia" w:ascii="宋体" w:hAnsi="宋体" w:eastAsia="宋体" w:cs="宋体"/>
          <w:b/>
          <w:color w:val="000000"/>
          <w:sz w:val="21"/>
          <w:szCs w:val="21"/>
          <w:highlight w:val="none"/>
          <w:lang w:val="en-US" w:eastAsia="zh-CN" w:bidi="ar"/>
        </w:rPr>
      </w:pPr>
      <w:r>
        <w:rPr>
          <w:rFonts w:hint="eastAsia" w:ascii="宋体" w:hAnsi="宋体" w:cs="宋体"/>
          <w:b/>
          <w:color w:val="000000"/>
          <w:sz w:val="21"/>
          <w:szCs w:val="21"/>
          <w:highlight w:val="none"/>
          <w:lang w:val="en-US" w:eastAsia="zh-CN" w:bidi="ar"/>
        </w:rPr>
        <w:t xml:space="preserve">二</w:t>
      </w:r>
      <w:r>
        <w:rPr>
          <w:rFonts w:hint="eastAsia" w:ascii="宋体" w:hAnsi="宋体" w:eastAsia="宋体" w:cs="宋体"/>
          <w:b/>
          <w:color w:val="000000"/>
          <w:sz w:val="21"/>
          <w:szCs w:val="21"/>
          <w:highlight w:val="none"/>
          <w:lang w:bidi="ar"/>
        </w:rPr>
        <w:t xml:space="preserve">、评分标准：</w:t>
      </w:r>
      <w:r/>
    </w:p>
    <w:p>
      <w:pPr>
        <w:ind w:firstLine="422"/>
        <w:spacing w:line="360" w:lineRule="auto"/>
        <w:rPr>
          <w:rFonts w:ascii="宋体" w:hAnsi="宋体" w:cs="宋体"/>
          <w:color w:val="auto"/>
          <w:szCs w:val="21"/>
          <w:highlight w:val="none"/>
        </w:rPr>
      </w:pPr>
      <w:r>
        <w:rPr>
          <w:rFonts w:hint="eastAsia" w:ascii="宋体" w:hAnsi="宋体" w:cs="宋体"/>
          <w:b/>
          <w:bCs/>
          <w:color w:val="auto"/>
          <w:szCs w:val="21"/>
          <w:highlight w:val="none"/>
          <w:lang w:val="zh-CN"/>
        </w:rPr>
        <w:t xml:space="preserve">（一）价格分：最高为30分</w:t>
      </w:r>
      <w:r/>
    </w:p>
    <w:p>
      <w:pPr>
        <w:ind w:firstLine="422"/>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第一步：投标总报价低于或等于采购预算价格的，为有效投标报价。超采购预算的投标报价为无效投标报价。无效投标报价的投标文件不得中标。</w:t>
      </w:r>
      <w:r/>
    </w:p>
    <w:p>
      <w:pPr>
        <w:ind w:firstLine="422"/>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第二步：价格分采用低价优先法计算，即满足招标文件要求且投标价格最低的投标报价为评标基准价，其价格分为满分。其他投标人的价格分统一按照下列公式计算：</w:t>
      </w:r>
      <w:r/>
    </w:p>
    <w:p>
      <w:pPr>
        <w:ind w:firstLine="422"/>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投标报价得分=（评标基准价/投标报价）*价格权值*100，小数点后保留两位（价格权值为30%）</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（二）投标产品技术质量（</w:t>
      </w:r>
      <w:r>
        <w:rPr>
          <w:rFonts w:hint="eastAsia" w:ascii="宋体" w:hAnsi="宋体" w:cs="宋体"/>
          <w:b/>
          <w:color w:val="auto"/>
          <w:szCs w:val="21"/>
          <w:highlight w:val="none"/>
          <w:lang w:val="en-US" w:eastAsia="zh-CN"/>
        </w:rPr>
        <w:t xml:space="preserve">30</w:t>
      </w:r>
      <w:r>
        <w:rPr>
          <w:rFonts w:hint="eastAsia" w:ascii="宋体" w:hAnsi="宋体" w:cs="宋体"/>
          <w:b/>
          <w:color w:val="auto"/>
          <w:szCs w:val="21"/>
          <w:highlight w:val="none"/>
        </w:rPr>
        <w:t xml:space="preserve">分）</w:t>
      </w:r>
      <w:r/>
    </w:p>
    <w:p>
      <w:pPr>
        <w:ind w:firstLine="422"/>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lang w:val="zh-CN"/>
        </w:rPr>
        <w:t xml:space="preserve">投标产品的技术参数、功能等符合情况：最高为</w:t>
      </w:r>
      <w:r>
        <w:rPr>
          <w:rFonts w:hint="eastAsia" w:ascii="宋体" w:hAnsi="宋体" w:cs="宋体"/>
          <w:color w:val="auto"/>
          <w:szCs w:val="21"/>
          <w:highlight w:val="none"/>
          <w:lang w:val="en-US" w:eastAsia="zh-CN"/>
        </w:rPr>
        <w:t xml:space="preserve">30</w:t>
      </w:r>
      <w:r>
        <w:rPr>
          <w:rFonts w:hint="eastAsia" w:ascii="宋体" w:hAnsi="宋体" w:cs="宋体"/>
          <w:color w:val="auto"/>
          <w:szCs w:val="21"/>
          <w:highlight w:val="none"/>
          <w:lang w:val="zh-CN"/>
        </w:rPr>
        <w:t xml:space="preserve">分</w:t>
      </w:r>
      <w:r/>
    </w:p>
    <w:p>
      <w:pPr>
        <w:ind w:firstLine="422"/>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投标单位所投产品的技术要求完全符合或优于招标文件的技术要求的得</w:t>
      </w:r>
      <w:r>
        <w:rPr>
          <w:rFonts w:hint="eastAsia" w:ascii="宋体" w:hAnsi="宋体" w:cs="宋体"/>
          <w:color w:val="auto"/>
          <w:szCs w:val="21"/>
          <w:highlight w:val="none"/>
          <w:lang w:val="en-US" w:eastAsia="zh-CN"/>
        </w:rPr>
        <w:t xml:space="preserve">最高分30</w:t>
      </w:r>
      <w:r>
        <w:rPr>
          <w:rFonts w:hint="eastAsia" w:ascii="宋体" w:hAnsi="宋体" w:cs="宋体"/>
          <w:color w:val="auto"/>
          <w:szCs w:val="21"/>
          <w:highlight w:val="none"/>
          <w:lang w:val="zh-CN"/>
        </w:rPr>
        <w:t xml:space="preserve">分，</w:t>
      </w:r>
      <w:r>
        <w:rPr>
          <w:rFonts w:hint="eastAsia" w:ascii="宋体" w:hAnsi="宋体" w:cs="宋体"/>
          <w:color w:val="auto"/>
          <w:szCs w:val="21"/>
          <w:highlight w:val="none"/>
          <w:lang w:val="en-US" w:eastAsia="zh-CN"/>
        </w:rPr>
        <w:t xml:space="preserve">招标文件中产品技术参数</w:t>
      </w:r>
      <w:r>
        <w:rPr>
          <w:rFonts w:hint="eastAsia" w:ascii="宋体" w:hAnsi="宋体" w:cs="宋体"/>
          <w:color w:val="auto"/>
          <w:szCs w:val="21"/>
          <w:highlight w:val="none"/>
          <w:lang w:val="zh-CN"/>
        </w:rPr>
        <w:t xml:space="preserve">标注“★”的技术条款每负偏离一</w:t>
      </w:r>
      <w:r>
        <w:rPr>
          <w:rFonts w:hint="eastAsia" w:ascii="宋体" w:hAnsi="宋体" w:cs="宋体"/>
          <w:color w:val="auto"/>
          <w:szCs w:val="21"/>
          <w:highlight w:val="none"/>
          <w:lang w:val="en-US" w:eastAsia="zh-CN"/>
        </w:rPr>
        <w:t xml:space="preserve">条</w:t>
      </w:r>
      <w:r>
        <w:rPr>
          <w:rFonts w:hint="eastAsia" w:ascii="宋体" w:hAnsi="宋体" w:cs="宋体"/>
          <w:color w:val="auto"/>
          <w:szCs w:val="21"/>
          <w:highlight w:val="none"/>
          <w:lang w:val="zh-CN"/>
        </w:rPr>
        <w:t xml:space="preserve">扣</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lang w:val="zh-CN"/>
        </w:rPr>
        <w:t xml:space="preserve">分；其他技术条款每负偏离一</w:t>
      </w:r>
      <w:r>
        <w:rPr>
          <w:rFonts w:hint="eastAsia" w:ascii="宋体" w:hAnsi="宋体" w:cs="宋体"/>
          <w:color w:val="auto"/>
          <w:szCs w:val="21"/>
          <w:highlight w:val="none"/>
          <w:lang w:val="en-US" w:eastAsia="zh-CN"/>
        </w:rPr>
        <w:t xml:space="preserve">条</w:t>
      </w:r>
      <w:r>
        <w:rPr>
          <w:rFonts w:hint="eastAsia" w:ascii="宋体" w:hAnsi="宋体" w:cs="宋体"/>
          <w:color w:val="auto"/>
          <w:szCs w:val="21"/>
          <w:highlight w:val="none"/>
          <w:lang w:val="zh-CN"/>
        </w:rPr>
        <w:t xml:space="preserve">扣0.</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lang w:val="zh-CN"/>
        </w:rPr>
        <w:t xml:space="preserve">分，扣完为止。</w:t>
      </w:r>
      <w:r/>
    </w:p>
    <w:p>
      <w:pPr>
        <w:ind w:firstLine="422"/>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en-US" w:eastAsia="zh-CN"/>
        </w:rPr>
        <w:t xml:space="preserve">说明：</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lang w:val="zh-CN"/>
        </w:rPr>
        <w:t xml:space="preserve">）投标人需对采购需求中的采购清单内所有技术参数要求进行逐条响应，在《技术条款偏离表》中如实详细填列所投产品的参数，且在偏差表中标明是否响应，招标文件要求提供证明材料的提供相应证明材料；否则评标委员会有权做负偏离处理。</w:t>
      </w:r>
      <w:r/>
    </w:p>
    <w:p>
      <w:pPr>
        <w:ind w:firstLine="422"/>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lang w:val="zh-CN"/>
        </w:rPr>
        <w:t xml:space="preserve">）采购需求中</w:t>
      </w:r>
      <w:r>
        <w:rPr>
          <w:rFonts w:hint="eastAsia" w:ascii="宋体" w:hAnsi="宋体" w:cs="宋体"/>
          <w:color w:val="auto"/>
          <w:szCs w:val="21"/>
          <w:highlight w:val="none"/>
          <w:lang w:val="en-US" w:eastAsia="zh-CN"/>
        </w:rPr>
        <w:t xml:space="preserve">加“★”</w:t>
      </w:r>
      <w:r>
        <w:rPr>
          <w:rFonts w:hint="eastAsia" w:ascii="宋体" w:hAnsi="宋体" w:cs="宋体"/>
          <w:color w:val="auto"/>
          <w:szCs w:val="21"/>
          <w:highlight w:val="none"/>
          <w:lang w:val="zh-CN"/>
        </w:rPr>
        <w:t xml:space="preserve">技术参数</w:t>
      </w:r>
      <w:r>
        <w:rPr>
          <w:rFonts w:hint="eastAsia" w:ascii="宋体" w:hAnsi="宋体" w:cs="宋体"/>
          <w:color w:val="auto"/>
          <w:szCs w:val="21"/>
          <w:highlight w:val="none"/>
          <w:lang w:val="en-US" w:eastAsia="zh-CN"/>
        </w:rPr>
        <w:t xml:space="preserve">条款需提供由国家认可的检测（检验）机构出具完整有效的检测（检验）报告来予以佐证</w:t>
      </w:r>
      <w:r>
        <w:rPr>
          <w:rFonts w:hint="eastAsia" w:ascii="宋体" w:hAnsi="宋体" w:cs="宋体"/>
          <w:color w:val="auto"/>
          <w:szCs w:val="21"/>
          <w:highlight w:val="none"/>
          <w:lang w:val="zh-CN"/>
        </w:rPr>
        <w:t xml:space="preserve">，若未提供或所提供技术支持资料不完整、不清晰等问题，即便投标文件中已承诺响应采购需求的，评审时也不予采信。</w:t>
      </w:r>
      <w:r/>
    </w:p>
    <w:p>
      <w:pPr>
        <w:ind w:firstLine="422"/>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lang w:val="zh-CN"/>
        </w:rPr>
        <w:t xml:space="preserve">）采购需求中</w:t>
      </w:r>
      <w:r>
        <w:rPr>
          <w:rFonts w:hint="eastAsia" w:ascii="宋体" w:hAnsi="宋体" w:cs="宋体"/>
          <w:color w:val="auto"/>
          <w:szCs w:val="21"/>
          <w:highlight w:val="none"/>
          <w:lang w:val="en-US" w:eastAsia="zh-CN"/>
        </w:rPr>
        <w:t xml:space="preserve">其他</w:t>
      </w:r>
      <w:r>
        <w:rPr>
          <w:rFonts w:hint="eastAsia" w:ascii="宋体" w:hAnsi="宋体" w:cs="宋体"/>
          <w:color w:val="auto"/>
          <w:szCs w:val="21"/>
          <w:highlight w:val="none"/>
          <w:lang w:val="zh-CN"/>
        </w:rPr>
        <w:t xml:space="preserve">技术参数未明确要求需要通过技术支持资料来印证是否响应采购需求的参数内容，以投标文件技术条款偏离表响应的内容为准，其他技术支持资料作为评审参考。</w:t>
      </w:r>
      <w:r/>
    </w:p>
    <w:p>
      <w:pPr>
        <w:ind w:firstLine="422"/>
        <w:spacing w:line="360" w:lineRule="auto"/>
        <w:rPr>
          <w:rFonts w:hint="eastAsia" w:ascii="宋体" w:hAnsi="宋体" w:cs="Times New Roman"/>
          <w:bCs w:val="0"/>
          <w:color w:val="auto"/>
          <w:szCs w:val="21"/>
          <w:highlight w:val="none"/>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lang w:val="zh-CN"/>
        </w:rPr>
        <w:t xml:space="preserve">）非单一产品包及套装组合包评审时，就包内所有产品的参数响应按照上述评分规则累计评审。</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（三）项目实施方案及售后服务（</w:t>
      </w:r>
      <w:r>
        <w:rPr>
          <w:rFonts w:hint="eastAsia" w:ascii="宋体" w:hAnsi="宋体" w:cs="宋体"/>
          <w:b/>
          <w:color w:val="auto"/>
          <w:szCs w:val="21"/>
          <w:highlight w:val="none"/>
          <w:lang w:val="en-US" w:eastAsia="zh-CN"/>
        </w:rPr>
        <w:t xml:space="preserve">35</w:t>
      </w:r>
      <w:r>
        <w:rPr>
          <w:rFonts w:hint="eastAsia" w:ascii="宋体" w:hAnsi="宋体" w:cs="宋体"/>
          <w:b/>
          <w:color w:val="auto"/>
          <w:szCs w:val="21"/>
          <w:highlight w:val="none"/>
        </w:rPr>
        <w:t xml:space="preserve">分）</w:t>
      </w:r>
      <w:r/>
    </w:p>
    <w:p>
      <w:pPr>
        <w:ind w:firstLine="422"/>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lang w:val="zh-CN"/>
        </w:rPr>
        <w:t xml:space="preserve">针对本项目的项目实施方案（最高为</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lang w:val="zh-CN"/>
        </w:rPr>
        <w:t xml:space="preserve">分）：</w:t>
      </w:r>
      <w:r/>
    </w:p>
    <w:p>
      <w:pPr>
        <w:ind w:firstLine="422"/>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根据投标单位针对本项目的项目实施方案评定，包括项目货源组织、产品质量控制、交货进度计划及安装调试验收方案等：项目实施方案内容完整不漏项、有针对性说明、切实可行、能切实提供项目进度及质量保证承诺及措施的得</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lang w:val="zh-CN"/>
        </w:rPr>
        <w:t xml:space="preserve">分；方案各项内容阐述不够全面有缺漏项、针对性说明较为简单、可行性一般、项目进度及质量保证措施一般的得</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lang w:val="zh-CN"/>
        </w:rPr>
        <w:t xml:space="preserve">分；方案各项内容粗略、有缺漏、缺乏针对性说明、项目进度及质量保证措施较差的得</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lang w:val="zh-CN"/>
        </w:rPr>
        <w:t xml:space="preserve">分；未提供相关说明或存在逻辑错误、前后矛盾的不得分。</w:t>
      </w:r>
      <w:r/>
    </w:p>
    <w:p>
      <w:pPr>
        <w:ind w:firstLine="422"/>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lang w:val="zh-CN"/>
        </w:rPr>
        <w:t xml:space="preserve">针对本项目的售后服务方案（最高为</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lang w:val="zh-CN"/>
        </w:rPr>
        <w:t xml:space="preserve">分）</w:t>
      </w:r>
      <w:r/>
    </w:p>
    <w:p>
      <w:pPr>
        <w:ind w:firstLine="422"/>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根据投标单位针对本项目的售后服务方案评定，包括售后服务范围、售后服务点设置、售后服务人员配备、响应时间、售后服务承诺等情况：售后服务各项内容阐述全面无缺项、合理、内容详细，符合项目实际需求情况，可行性高的得</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lang w:val="zh-CN"/>
        </w:rPr>
        <w:t xml:space="preserve">分；售后服务各项内容阐述不全面、有缺项漏项，内容较为简要，针对性、可行性一般的得</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lang w:val="zh-CN"/>
        </w:rPr>
        <w:t xml:space="preserve">分；售后服务各项内容阐述粗略或无阐述，无针对性，可行性较差的得</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lang w:val="zh-CN"/>
        </w:rPr>
        <w:t xml:space="preserve">分；未提供相关说明或或存在逻辑错误、前后矛盾的不得分。</w:t>
      </w:r>
      <w:r/>
    </w:p>
    <w:p>
      <w:pPr>
        <w:ind w:firstLine="422"/>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3</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lang w:val="zh-CN"/>
        </w:rPr>
        <w:t xml:space="preserve">针对本项目的应急和重大故障解决方案（最高为</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lang w:val="zh-CN"/>
        </w:rPr>
        <w:t xml:space="preserve">分）</w:t>
      </w:r>
      <w:r/>
    </w:p>
    <w:p>
      <w:pPr>
        <w:ind w:firstLine="422"/>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根据投标单位针对本项目的应急和重大故障解决方案评定，包括应急和重大故障预防措施，以及出现问题的响应时间、补救措施等：应急和重大故障解决方案内容阐述全面无缺项、合理、内容详细，符合项目实际情况，可行性高的得</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lang w:val="zh-CN"/>
        </w:rPr>
        <w:t xml:space="preserve">分；应急和重大故障解决方案内容阐述不全面、有缺项漏项，内容较为简要，针对性一般，可行性一般的得</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lang w:val="zh-CN"/>
        </w:rPr>
        <w:t xml:space="preserve">分；应急和重大故障解决方案内容阐述粗略或无阐述，无针对性，可行性较差的得</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lang w:val="zh-CN"/>
        </w:rPr>
        <w:t xml:space="preserve">分；未提供相关说明或或存在逻辑错误、前后矛盾的不得分。</w:t>
      </w:r>
      <w:r/>
    </w:p>
    <w:p>
      <w:pPr>
        <w:ind w:firstLine="422"/>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4</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lang w:val="zh-CN"/>
        </w:rPr>
        <w:t xml:space="preserve">针对本项目使用方人员的技术培训方案（最高为</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lang w:val="zh-CN"/>
        </w:rPr>
        <w:t xml:space="preserve">分）</w:t>
      </w:r>
      <w:r/>
    </w:p>
    <w:p>
      <w:pPr>
        <w:ind w:firstLine="422"/>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根据投标单位提供的针对本项目使用方人员的技术培训方案评定，包括但不限于使用操作、常规检查、保养内容、日常使用注意事项等方面：技术培训服务方案考虑全面周到，针对性强，实操性强的得</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lang w:val="zh-CN"/>
        </w:rPr>
        <w:t xml:space="preserve">分；技术培训服务方案较为全面，针对性和实操性较好的得</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lang w:val="zh-CN"/>
        </w:rPr>
        <w:t xml:space="preserve">分；技术培训服务方案简略笼统，无针对性或可操作性较差的得</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lang w:val="zh-CN"/>
        </w:rPr>
        <w:t xml:space="preserve">分。未提供相关说明或存在逻辑错误、前后矛盾的不得分。</w:t>
      </w:r>
      <w:r/>
    </w:p>
    <w:p>
      <w:pPr>
        <w:ind w:firstLine="422"/>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lang w:val="zh-CN"/>
        </w:rPr>
        <w:t xml:space="preserve">免费质保期满后维保情况及配件供应情况（最高为</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lang w:val="zh-CN"/>
        </w:rPr>
        <w:t xml:space="preserve">分）</w:t>
      </w:r>
      <w:r/>
    </w:p>
    <w:p>
      <w:pPr>
        <w:ind w:firstLine="422"/>
        <w:spacing w:line="360" w:lineRule="auto"/>
        <w:rPr>
          <w:rFonts w:hint="eastAsia" w:ascii="宋体" w:hAnsi="宋体" w:eastAsia="宋体"/>
          <w:bCs/>
          <w:color w:val="auto"/>
          <w:szCs w:val="21"/>
          <w:highlight w:val="none"/>
          <w:lang w:val="en-US" w:eastAsia="zh-CN"/>
        </w:rPr>
      </w:pPr>
      <w:r>
        <w:rPr>
          <w:rFonts w:hint="eastAsia" w:ascii="宋体" w:hAnsi="宋体" w:cs="宋体"/>
          <w:color w:val="auto"/>
          <w:szCs w:val="21"/>
          <w:highlight w:val="none"/>
          <w:lang w:val="zh-CN"/>
        </w:rPr>
        <w:t xml:space="preserve">根据投标单位对本项目免费质保期满后维保情况及配件供应保障情况进行综合评定，维保及配件价格优惠且保障情况较好的得</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lang w:val="zh-CN"/>
        </w:rPr>
        <w:t xml:space="preserve">分；基本满足项目需求的得</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lang w:val="zh-CN"/>
        </w:rPr>
        <w:t xml:space="preserve">分；供应价格相对较高且保障不力的得</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lang w:val="zh-CN"/>
        </w:rPr>
        <w:t xml:space="preserve">分；未作说明的本项不得分</w:t>
      </w:r>
      <w:r>
        <w:rPr>
          <w:rFonts w:hint="eastAsia" w:ascii="宋体" w:hAnsi="宋体" w:cs="宋体"/>
          <w:color w:val="auto"/>
          <w:szCs w:val="21"/>
          <w:highlight w:val="none"/>
          <w:lang w:val="zh-CN" w:eastAsia="zh-CN"/>
        </w:rPr>
        <w:t xml:space="preserve">。</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（四）投标单位综合履约能力（</w:t>
      </w:r>
      <w:r>
        <w:rPr>
          <w:rFonts w:hint="eastAsia" w:ascii="宋体" w:hAnsi="宋体" w:cs="宋体"/>
          <w:b/>
          <w:color w:val="auto"/>
          <w:szCs w:val="21"/>
          <w:highlight w:val="none"/>
          <w:lang w:val="en-US" w:eastAsia="zh-CN"/>
        </w:rPr>
        <w:t xml:space="preserve">5</w:t>
      </w:r>
      <w:r>
        <w:rPr>
          <w:rFonts w:hint="eastAsia" w:ascii="宋体" w:hAnsi="宋体" w:cs="宋体"/>
          <w:b/>
          <w:color w:val="auto"/>
          <w:szCs w:val="21"/>
          <w:highlight w:val="none"/>
        </w:rPr>
        <w:t xml:space="preserve">分）</w:t>
      </w:r>
      <w:r/>
    </w:p>
    <w:p>
      <w:pPr>
        <w:ind w:firstLine="422"/>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投标单位自2022年1月1日起至今（以合同签订时间为准）签订的类似项目业绩合同，每提供一个业绩合同得1分，最高得2分。投标文件中提供完整合同扫描件和不低于合同金额50%发票复印件，资料不全或未按要求提供不得分。</w:t>
      </w:r>
      <w:r/>
    </w:p>
    <w:p>
      <w:pPr>
        <w:ind w:firstLine="422"/>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投标单位具有有效期内的质量管理体系认证证书、环境管理体系认证证书、职业健康安全管理体系认证证书的，每提供一项得1分，最高为3分。（投标文件中提供证书扫描件及在中国国家认证认可监督管理委员会官网查询截图）</w:t>
      </w:r>
      <w:r/>
    </w:p>
    <w:p>
      <w:pPr>
        <w:pStyle w:val="793"/>
        <w:ind w:firstLine="422"/>
        <w:jc w:val="right"/>
        <w:spacing w:line="360" w:lineRule="auto"/>
        <w:rPr>
          <w:rFonts w:ascii="宋体" w:hAnsi="宋体" w:eastAsia="宋体" w:cs="宋体"/>
          <w:b/>
          <w:bCs/>
          <w:color w:val="auto"/>
          <w:sz w:val="21"/>
          <w:szCs w:val="21"/>
          <w:highlight w:val="none"/>
        </w:rPr>
      </w:pPr>
      <w:r>
        <w:rPr>
          <w:rFonts w:ascii="宋体" w:hAnsi="宋体" w:eastAsia="宋体" w:cs="宋体"/>
          <w:b/>
          <w:bCs/>
          <w:color w:val="auto"/>
          <w:sz w:val="21"/>
          <w:szCs w:val="21"/>
          <w:highlight w:val="none"/>
        </w:rPr>
      </w:r>
      <w:r/>
    </w:p>
    <w:p>
      <w:pPr>
        <w:ind w:firstLine="422"/>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备注：1.付款步骤、供货时间如有负偏离的不得中标。</w:t>
      </w:r>
      <w:r/>
    </w:p>
    <w:p>
      <w:pPr>
        <w:ind w:firstLine="422"/>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针对评分标准中评分的每一条，投标单位在投标文件中应提供清晰明了的相关资料并做出相应说明供评委评判，不提供相关资料或提供的资料不清晰或评委无法判断是否满足评分要求的视为不具备该项得分的条件。</w:t>
      </w:r>
      <w:r/>
    </w:p>
    <w:p>
      <w:pPr>
        <w:ind w:firstLine="422"/>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投标单位必须保证全部投标资料的真实性，采购人有权在采购的任何阶段进行调查和核实，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firstLine="482"/>
        <w:jc w:val="right"/>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（全文完）</w:t>
      </w:r>
      <w:r/>
    </w:p>
    <w:sectPr>
      <w:footerReference w:type="default" r:id="rId16"/>
      <w:footerReference w:type="first" r:id="rId17"/>
      <w:footnotePr/>
      <w:endnotePr/>
      <w:type w:val="nextPage"/>
      <w:pgSz w:w="11906" w:h="16838" w:orient="portrait"/>
      <w:pgMar w:top="1440" w:right="1800" w:bottom="1440" w:left="1800" w:header="851" w:footer="788"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仿宋">
    <w:panose1 w:val="02010609060101010101"/>
  </w:font>
  <w:font w:name="Tahoma">
    <w:panose1 w:val="020B0604030504040204"/>
  </w:font>
  <w:font w:name="Verdana">
    <w:panose1 w:val="020B0604030504040204"/>
  </w:font>
  <w:font w:name="仿宋_GB2312">
    <w:panose1 w:val="02010609060101010101"/>
  </w:font>
  <w:font w:name="黑体">
    <w:panose1 w:val="02010609060101010101"/>
  </w:font>
  <w:font w:name="微软雅黑">
    <w:panose1 w:val="020B0503020204020204"/>
  </w:font>
  <w:font w:name="Calibri">
    <w:panose1 w:val="020F0502020204030204"/>
  </w:font>
  <w:font w:name="楷体_GB2312">
    <w:panose1 w:val="02010609060101010101"/>
  </w:font>
  <w:font w:name="Courier New">
    <w:panose1 w:val="020703090202050204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ind w:right="360"/>
      <w:rPr>
        <w:rStyle w:val="1020"/>
      </w:rPr>
      <w:framePr w:wrap="around" w:vAnchor="text" w:hAnchor="margin" w:xAlign="center" w:y="1"/>
    </w:pPr>
    <w:r>
      <w:rPr>
        <w:rStyle w:val="1020"/>
        <w:rFonts w:hint="eastAsia"/>
      </w:rPr>
      <w:t xml:space="preserve">第</w:t>
    </w:r>
    <w:r>
      <w:rPr>
        <w:rStyle w:val="1020"/>
      </w:rPr>
      <w:t xml:space="preserve"> </w:t>
    </w:r>
    <w:r>
      <w:fldChar w:fldCharType="begin"/>
    </w:r>
    <w:r>
      <w:rPr>
        <w:rStyle w:val="1020"/>
      </w:rPr>
      <w:instrText xml:space="preserve"> PAGE </w:instrText>
    </w:r>
    <w:r>
      <w:fldChar w:fldCharType="separate"/>
    </w:r>
    <w:r>
      <w:rPr>
        <w:rStyle w:val="1020"/>
      </w:rPr>
      <w:t xml:space="preserve">20</w:t>
    </w:r>
    <w:r>
      <w:fldChar w:fldCharType="end"/>
    </w:r>
    <w:r>
      <w:rPr>
        <w:rStyle w:val="1020"/>
      </w:rPr>
      <w:t xml:space="preserve"> </w:t>
    </w:r>
    <w:r>
      <w:rPr>
        <w:rStyle w:val="1020"/>
        <w:rFonts w:hint="eastAsia"/>
      </w:rPr>
      <w:t xml:space="preserve">页</w:t>
    </w:r>
    <w:r/>
  </w:p>
  <w:p>
    <w:pPr>
      <w:pStyle w:val="1003"/>
      <w:ind w:right="360"/>
      <w:rPr>
        <w:rFonts w:hint="eastAsia"/>
      </w:rPr>
    </w:pP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rPr>
        <w:rStyle w:val="1020"/>
      </w:rPr>
      <w:framePr w:wrap="around" w:vAnchor="text" w:hAnchor="margin" w:xAlign="center" w:y="1"/>
    </w:pPr>
    <w:r>
      <w:fldChar w:fldCharType="begin"/>
    </w:r>
    <w:r>
      <w:rPr>
        <w:rStyle w:val="1020"/>
      </w:rPr>
      <w:instrText xml:space="preserve">PAGE  </w:instrText>
    </w:r>
    <w:r>
      <w:fldChar w:fldCharType="separate"/>
    </w:r>
    <w:r>
      <w:fldChar w:fldCharType="end"/>
    </w:r>
    <w:r/>
  </w:p>
  <w:p>
    <w:pPr>
      <w:pStyle w:val="1003"/>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ind w:right="360"/>
      <w:rPr>
        <w:rFonts w:hint="eastAsia"/>
      </w:rPr>
    </w:pPr>
    <w:r>
      <w:rPr>
        <w:rFonts w:hint="eastAsi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ind w:right="360"/>
      <w:rPr>
        <w:rStyle w:val="1020"/>
      </w:rPr>
      <w:framePr w:wrap="around" w:vAnchor="text" w:hAnchor="margin" w:xAlign="center" w:y="1"/>
    </w:pPr>
    <w:r>
      <w:rPr>
        <w:rStyle w:val="1020"/>
        <w:rFonts w:hint="eastAsia"/>
      </w:rPr>
      <w:t xml:space="preserve">第</w:t>
    </w:r>
    <w:r>
      <w:rPr>
        <w:rStyle w:val="1020"/>
      </w:rPr>
      <w:t xml:space="preserve"> </w:t>
    </w:r>
    <w:r>
      <w:fldChar w:fldCharType="begin"/>
    </w:r>
    <w:r>
      <w:rPr>
        <w:rStyle w:val="1020"/>
      </w:rPr>
      <w:instrText xml:space="preserve"> PAGE </w:instrText>
    </w:r>
    <w:r>
      <w:fldChar w:fldCharType="separate"/>
    </w:r>
    <w:r>
      <w:rPr>
        <w:rStyle w:val="1020"/>
      </w:rPr>
      <w:t xml:space="preserve">6</w:t>
    </w:r>
    <w:r>
      <w:fldChar w:fldCharType="end"/>
    </w:r>
    <w:r>
      <w:rPr>
        <w:rStyle w:val="1020"/>
      </w:rPr>
      <w:t xml:space="preserve"> </w:t>
    </w:r>
    <w:r>
      <w:rPr>
        <w:rStyle w:val="1020"/>
        <w:rFonts w:hint="eastAsia"/>
      </w:rPr>
      <w:t xml:space="preserve">页</w:t>
    </w:r>
    <w:r/>
  </w:p>
  <w:p>
    <w:pPr>
      <w:pStyle w:val="1003"/>
      <w:ind w:right="360"/>
      <w:rPr>
        <w:rFonts w:hint="eastAsia"/>
      </w:rPr>
    </w:pPr>
    <w:r>
      <w:rPr>
        <w:rFonts w:hint="eastAsia"/>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jc w:val="both"/>
      <w:rPr>
        <w:rFonts w:hint="eastAsia" w:ascii="宋体" w:hAnsi="宋体" w:eastAsia="宋体" w:cs="宋体"/>
        <w:sz w:val="21"/>
        <w:szCs w:val="21"/>
        <w:lang w:eastAsia="zh-CN"/>
      </w:rPr>
    </w:pPr>
    <w:r>
      <w:rPr>
        <w:rFonts w:hint="eastAsia" w:ascii="宋体" w:hAnsi="宋体" w:eastAsia="宋体" w:cs="宋体"/>
        <w:sz w:val="21"/>
        <w:szCs w:val="21"/>
      </w:rPr>
      <w:t xml:space="preserve">苏州市天美达招投标咨询服务有限公司          </w:t>
    </w:r>
    <w:r>
      <w:rPr>
        <w:rFonts w:hint="eastAsia" w:ascii="宋体" w:hAnsi="宋体" w:eastAsia="宋体" w:cs="宋体"/>
        <w:sz w:val="21"/>
        <w:szCs w:val="21"/>
        <w:lang w:val="en-US" w:eastAsia="zh-CN"/>
      </w:rPr>
      <w:t xml:space="preserve"> 编</w:t>
    </w:r>
    <w:r>
      <w:rPr>
        <w:rFonts w:hint="eastAsia" w:ascii="宋体" w:hAnsi="宋体" w:eastAsia="宋体" w:cs="宋体"/>
        <w:sz w:val="21"/>
        <w:szCs w:val="21"/>
      </w:rPr>
      <w:t xml:space="preserve">号：</w:t>
    </w:r>
    <w:r>
      <w:rPr>
        <w:rFonts w:hint="eastAsia" w:ascii="宋体" w:hAnsi="宋体" w:eastAsia="宋体" w:cs="宋体"/>
        <w:sz w:val="21"/>
        <w:szCs w:val="21"/>
        <w:lang w:eastAsia="zh-CN"/>
      </w:rPr>
      <w:t xml:space="preserve">JSZC-320509-SZST-G2026-0022</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jc w:val="both"/>
      <w:rPr>
        <w:rFonts w:hint="eastAsia" w:ascii="宋体" w:hAnsi="宋体" w:eastAsia="楷体_GB2312"/>
        <w:lang w:eastAsia="zh-CN"/>
      </w:rPr>
    </w:pPr>
    <w:r>
      <w:rPr>
        <w:rFonts w:hint="eastAsia"/>
      </w:rPr>
      <w:t xml:space="preserve">苏州市天美达招投标咨询服务有限公司                     标号：</w:t>
    </w:r>
    <w:r>
      <w:rPr>
        <w:rFonts w:hint="eastAsia" w:ascii="宋体" w:hAnsi="宋体" w:eastAsia="宋体"/>
        <w:lang w:eastAsia="zh-CN"/>
      </w:rPr>
      <w:t xml:space="preserve">JSZC-320509-SZST-G2026-0022</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077"/>
      <w:isLgl w:val="false"/>
      <w:suff w:val="tab"/>
      <w:lvlText w:val=""/>
      <w:lvlJc w:val="left"/>
      <w:pPr>
        <w:ind w:left="840" w:hanging="420"/>
        <w:tabs>
          <w:tab w:val="left" w:pos="840" w:leader="none"/>
        </w:tabs>
      </w:pPr>
      <w:rPr>
        <w:rFonts w:ascii="Wingdings" w:hAnsi="Wingdings"/>
        <w:color w:val="000000"/>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
    <w:multiLevelType w:val="hybridMultilevel"/>
    <w:lvl w:ilvl="0">
      <w:start w:val="1"/>
      <w:numFmt w:val="decimal"/>
      <w:pStyle w:val="1071"/>
      <w:isLgl w:val="false"/>
      <w:suff w:val="tab"/>
      <w:lvlText w:val="%1、"/>
      <w:lvlJc w:val="left"/>
      <w:pPr>
        <w:ind w:left="360" w:hanging="360"/>
        <w:tabs>
          <w:tab w:val="left" w:pos="36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bullet"/>
      <w:pStyle w:val="997"/>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73"/>
      <w:isLgl w:val="false"/>
      <w:suff w:val="nothing"/>
      <w:lvlText w:val="1、"/>
      <w:lvlJc w:val="left"/>
      <w:pPr>
        <w:ind w:left="0" w:firstLine="0"/>
        <w:tabs>
          <w:tab w:val="left" w:pos="0" w:leader="none"/>
        </w:tabs>
      </w:pPr>
      <w:rPr>
        <w:rFonts w:ascii="宋体" w:hAnsi="宋体" w:eastAsia="宋体" w:cs="宋体"/>
      </w:rPr>
    </w:lvl>
    <w:lvl w:ilvl="1">
      <w:start w:val="1"/>
      <w:numFmt w:val="decimal"/>
      <w:pStyle w:val="974"/>
      <w:isLgl w:val="false"/>
      <w:suff w:val="nothing"/>
      <w:lvlText w:val="（1）"/>
      <w:lvlJc w:val="left"/>
      <w:pPr>
        <w:ind w:left="284" w:firstLine="0"/>
      </w:pPr>
      <w:rPr>
        <w:rFonts w:ascii="宋体" w:hAnsi="宋体" w:eastAsia="宋体" w:cs="宋体"/>
      </w:rPr>
    </w:lvl>
    <w:lvl w:ilvl="2">
      <w:start w:val="1"/>
      <w:numFmt w:val="decimal"/>
      <w:pStyle w:val="975"/>
      <w:isLgl w:val="false"/>
      <w:suff w:val="nothing"/>
      <w:lvlText w:val=""/>
      <w:lvlJc w:val="left"/>
      <w:pPr>
        <w:ind w:left="0" w:firstLine="400"/>
      </w:pPr>
      <w:rPr>
        <w:rFonts w:ascii="宋体" w:hAnsi="宋体" w:eastAsia="宋体" w:cs="宋体"/>
      </w:rPr>
    </w:lvl>
    <w:lvl w:ilvl="3">
      <w:start w:val="1"/>
      <w:numFmt w:val="decimal"/>
      <w:pStyle w:val="976"/>
      <w:isLgl w:val="false"/>
      <w:suff w:val="nothing"/>
      <w:lvlText w:val="（%4）"/>
      <w:lvlJc w:val="left"/>
      <w:pPr>
        <w:ind w:left="0" w:firstLine="402"/>
      </w:pPr>
      <w:rPr>
        <w:rFonts w:ascii="宋体" w:hAnsi="宋体" w:eastAsia="宋体" w:cs="宋体"/>
      </w:rPr>
    </w:lvl>
    <w:lvl w:ilvl="4">
      <w:start w:val="1"/>
      <w:numFmt w:val="decimalEnclosedCircleChinese"/>
      <w:pStyle w:val="977"/>
      <w:isLgl w:val="false"/>
      <w:suff w:val="nothing"/>
      <w:lvlText w:val="%5"/>
      <w:lvlJc w:val="left"/>
      <w:pPr>
        <w:ind w:left="0" w:firstLine="402"/>
      </w:pPr>
      <w:rPr>
        <w:rFonts w:hint="eastAsia" w:ascii="宋体" w:hAnsi="宋体" w:eastAsia="宋体" w:cs="宋体"/>
      </w:rPr>
    </w:lvl>
    <w:lvl w:ilvl="5">
      <w:start w:val="1"/>
      <w:numFmt w:val="decimal"/>
      <w:pStyle w:val="978"/>
      <w:isLgl w:val="false"/>
      <w:suff w:val="nothing"/>
      <w:lvlText w:val="%6）"/>
      <w:lvlJc w:val="left"/>
      <w:pPr>
        <w:ind w:left="0" w:firstLine="402"/>
      </w:pPr>
      <w:rPr>
        <w:rFonts w:hint="eastAsia"/>
      </w:rPr>
    </w:lvl>
    <w:lvl w:ilvl="6">
      <w:start w:val="1"/>
      <w:numFmt w:val="lowerLetter"/>
      <w:pStyle w:val="979"/>
      <w:isLgl w:val="false"/>
      <w:suff w:val="nothing"/>
      <w:lvlText w:val="%7．"/>
      <w:lvlJc w:val="left"/>
      <w:pPr>
        <w:ind w:left="0" w:firstLine="402"/>
      </w:pPr>
      <w:rPr>
        <w:rFonts w:hint="eastAsia"/>
      </w:rPr>
    </w:lvl>
    <w:lvl w:ilvl="7">
      <w:start w:val="1"/>
      <w:numFmt w:val="lowerLetter"/>
      <w:pStyle w:val="980"/>
      <w:isLgl w:val="false"/>
      <w:suff w:val="nothing"/>
      <w:lvlText w:val="%8）"/>
      <w:lvlJc w:val="left"/>
      <w:pPr>
        <w:ind w:left="0" w:firstLine="402"/>
      </w:pPr>
      <w:rPr>
        <w:rFonts w:hint="eastAsia"/>
      </w:rPr>
    </w:lvl>
    <w:lvl w:ilvl="8">
      <w:start w:val="1"/>
      <w:numFmt w:val="lowerRoman"/>
      <w:pStyle w:val="981"/>
      <w:isLgl w:val="false"/>
      <w:suff w:val="nothing"/>
      <w:lvlText w:val="%9 "/>
      <w:lvlJc w:val="left"/>
      <w:pPr>
        <w:ind w:left="0" w:firstLine="402"/>
      </w:pPr>
      <w:rPr>
        <w:rFonts w:hint="eastAsia"/>
      </w:rPr>
    </w:lvl>
  </w:abstractNum>
  <w:abstractNum w:abstractNumId="4">
    <w:multiLevelType w:val="hybridMultilevel"/>
    <w:lvl w:ilvl="0">
      <w:start w:val="1"/>
      <w:numFmt w:val="bullet"/>
      <w:pStyle w:val="1093"/>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5">
    <w:multiLevelType w:val="hybridMultilevel"/>
    <w:lvl w:ilvl="0">
      <w:start w:val="1"/>
      <w:numFmt w:val="decimal"/>
      <w:isLgl w:val="false"/>
      <w:suff w:val="tab"/>
      <w:lvlText w:val="%1"/>
      <w:lvlJc w:val="left"/>
      <w:pPr>
        <w:ind w:left="432" w:hanging="632"/>
        <w:tabs>
          <w:tab w:val="left" w:pos="432" w:leader="none"/>
        </w:tabs>
      </w:pPr>
      <w:rPr>
        <w:rFonts w:ascii="Times New Roman" w:hAnsi="Times New Roman" w:eastAsia="宋体"/>
        <w:b/>
        <w:i w:val="0"/>
        <w:spacing w:val="8"/>
        <w:sz w:val="32"/>
        <w:szCs w:val="32"/>
      </w:rPr>
    </w:lvl>
    <w:lvl w:ilvl="1">
      <w:start w:val="1"/>
      <w:numFmt w:val="decimal"/>
      <w:pStyle w:val="1079"/>
      <w:isLgl w:val="false"/>
      <w:suff w:val="tab"/>
      <w:lvlText w:val="%1.%2"/>
      <w:lvlJc w:val="left"/>
      <w:pPr>
        <w:ind w:left="431" w:hanging="431"/>
        <w:tabs>
          <w:tab w:val="left" w:pos="431" w:leader="none"/>
        </w:tabs>
      </w:pPr>
      <w:rPr>
        <w:rFonts w:ascii="Times New Roman" w:hAnsi="Times New Roman" w:eastAsia="宋体"/>
        <w:b/>
        <w:i w:val="0"/>
        <w:sz w:val="24"/>
        <w:szCs w:val="24"/>
      </w:rPr>
    </w:lvl>
    <w:lvl w:ilvl="2">
      <w:start w:val="1"/>
      <w:numFmt w:val="decimal"/>
      <w:isLgl w:val="false"/>
      <w:suff w:val="tab"/>
      <w:lvlText w:val="%1.%2.%3"/>
      <w:lvlJc w:val="left"/>
      <w:pPr>
        <w:ind w:left="833" w:hanging="833"/>
        <w:tabs>
          <w:tab w:val="left" w:pos="833" w:leader="none"/>
        </w:tabs>
      </w:pPr>
      <w:rPr>
        <w:rFonts w:ascii="Times New Roman" w:hAnsi="Times New Roman" w:eastAsia="宋体"/>
        <w:b/>
        <w:i w:val="0"/>
        <w:sz w:val="24"/>
        <w:szCs w:val="24"/>
      </w:rPr>
    </w:lvl>
    <w:lvl w:ilvl="3">
      <w:start w:val="1"/>
      <w:numFmt w:val="decimal"/>
      <w:pStyle w:val="1097"/>
      <w:isLgl w:val="false"/>
      <w:suff w:val="tab"/>
      <w:lvlText w:val="%1.%2.%3.%4"/>
      <w:lvlJc w:val="left"/>
      <w:pPr>
        <w:ind w:left="0" w:firstLine="0"/>
        <w:tabs>
          <w:tab w:val="left" w:pos="0" w:leader="none"/>
        </w:tabs>
      </w:pPr>
      <w:rPr>
        <w:rFonts w:ascii="Times New Roman" w:hAnsi="Times New Roman" w:eastAsia="宋体"/>
        <w:sz w:val="24"/>
        <w:szCs w:val="24"/>
      </w:rPr>
    </w:lvl>
    <w:lvl w:ilvl="4">
      <w:start w:val="1"/>
      <w:numFmt w:val="decimal"/>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6">
    <w:multiLevelType w:val="hybridMultilevel"/>
    <w:lvl w:ilvl="0">
      <w:start w:val="1"/>
      <w:numFmt w:val="chineseCountingThousand"/>
      <w:isLgl w:val="false"/>
      <w:suff w:val="tab"/>
      <w:lvlText w:val="%1、"/>
      <w:lvlJc w:val="left"/>
      <w:pPr>
        <w:ind w:left="144" w:hanging="144"/>
        <w:tabs>
          <w:tab w:val="left" w:pos="792" w:leader="none"/>
        </w:tabs>
      </w:pPr>
      <w:rPr>
        <w:rFonts w:hint="eastAsia"/>
        <w:b/>
        <w:i w:val="0"/>
        <w:sz w:val="36"/>
        <w:szCs w:val="36"/>
      </w:rPr>
    </w:lvl>
    <w:lvl w:ilvl="1">
      <w:start w:val="1"/>
      <w:numFmt w:val="decimal"/>
      <w:isLgl w:val="false"/>
      <w:suff w:val="tab"/>
      <w:lvlText w:val="%1.%2"/>
      <w:lvlJc w:val="left"/>
      <w:pPr>
        <w:ind w:left="576" w:hanging="576"/>
        <w:tabs>
          <w:tab w:val="left" w:pos="576" w:leader="none"/>
        </w:tabs>
      </w:pPr>
      <w:rPr>
        <w:rFonts w:hint="eastAsia" w:ascii="仿宋" w:hAnsi="仿宋" w:eastAsia="仿宋"/>
        <w:b/>
        <w:i w:val="0"/>
        <w:sz w:val="30"/>
        <w:szCs w:val="30"/>
      </w:rPr>
    </w:lvl>
    <w:lvl w:ilvl="2">
      <w:start w:val="1"/>
      <w:numFmt w:val="decimal"/>
      <w:isLgl w:val="false"/>
      <w:suff w:val="tab"/>
      <w:lvlText w:val="%1.%2.%3"/>
      <w:lvlJc w:val="left"/>
      <w:pPr>
        <w:ind w:left="720" w:hanging="720"/>
        <w:tabs>
          <w:tab w:val="left" w:pos="720" w:leader="none"/>
        </w:tabs>
      </w:pPr>
      <w:rPr>
        <w:rFonts w:hint="eastAsia" w:ascii="仿宋" w:hAnsi="仿宋" w:eastAsia="仿宋"/>
        <w:b/>
        <w:i w:val="0"/>
        <w:sz w:val="28"/>
        <w:szCs w:val="28"/>
      </w:rPr>
    </w:lvl>
    <w:lvl w:ilvl="3">
      <w:start w:val="1"/>
      <w:numFmt w:val="decimal"/>
      <w:pStyle w:val="1087"/>
      <w:isLgl w:val="false"/>
      <w:suff w:val="tab"/>
      <w:lvlText w:val="%4."/>
      <w:lvlJc w:val="left"/>
      <w:pPr>
        <w:ind w:left="0" w:firstLine="0"/>
        <w:tabs>
          <w:tab w:val="left" w:pos="0" w:leader="none"/>
        </w:tabs>
      </w:pPr>
      <w:rPr>
        <w:rFonts w:hint="eastAsia" w:ascii="仿宋" w:hAnsi="仿宋" w:eastAsia="仿宋"/>
        <w:b/>
        <w:i w:val="0"/>
        <w:sz w:val="28"/>
        <w:szCs w:val="28"/>
      </w:rPr>
    </w:lvl>
    <w:lvl w:ilvl="4">
      <w:start w:val="1"/>
      <w:numFmt w:val="decimal"/>
      <w:isLgl w:val="false"/>
      <w:suff w:val="tab"/>
      <w:lvlText w:val="（%5）"/>
      <w:lvlJc w:val="left"/>
      <w:pPr>
        <w:ind w:left="0" w:firstLine="0"/>
        <w:tabs>
          <w:tab w:val="left" w:pos="0" w:leader="none"/>
        </w:tabs>
      </w:pPr>
      <w:rPr>
        <w:rFonts w:hint="eastAsia"/>
      </w:rPr>
    </w:lvl>
    <w:lvl w:ilvl="5">
      <w:start w:val="1"/>
      <w:numFmt w:val="upperLetter"/>
      <w:isLgl w:val="false"/>
      <w:suff w:val="tab"/>
      <w:lvlText w:val="%6."/>
      <w:lvlJc w:val="left"/>
      <w:pPr>
        <w:ind w:left="0" w:firstLine="0"/>
        <w:tabs>
          <w:tab w:val="left" w:pos="0" w:leader="none"/>
        </w:tabs>
      </w:pPr>
      <w:rPr>
        <w:rFonts w:hint="eastAsia"/>
      </w:rPr>
    </w:lvl>
    <w:lvl w:ilvl="6">
      <w:start w:val="1"/>
      <w:numFmt w:val="bullet"/>
      <w:isLgl w:val="false"/>
      <w:suff w:val="tab"/>
      <w:lvlText w:val=""/>
      <w:lvlJc w:val="left"/>
      <w:pPr>
        <w:ind w:left="0" w:firstLine="0"/>
        <w:tabs>
          <w:tab w:val="left" w:pos="0" w:leader="none"/>
        </w:tabs>
      </w:pPr>
      <w:rPr>
        <w:rFonts w:ascii="Symbol" w:hAnsi="Symbol" w:cs="Times New Roman"/>
        <w:color w:val="000000"/>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069"/>
      <w:isLgl w:val="false"/>
      <w:suff w:val="tab"/>
      <w:lvlText w:val="%1"/>
      <w:lvlJc w:val="left"/>
      <w:pPr>
        <w:ind w:left="660" w:hanging="660"/>
        <w:tabs>
          <w:tab w:val="left" w:pos="6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090"/>
      <w:isLgl w:val="false"/>
      <w:suff w:val="nothing"/>
      <w:lvlText w:val="表%1　"/>
      <w:lvlJc w:val="left"/>
      <w:pPr/>
      <w:rPr>
        <w:rFonts w:ascii="Times New Roman" w:hAnsi="Times New Roman" w:eastAsia="黑体" w:cs="Times New Roman"/>
        <w:b/>
        <w:bCs w:val="0"/>
        <w:i w:val="0"/>
        <w:iCs w:val="0"/>
        <w:sz w:val="21"/>
        <w:szCs w:val="21"/>
      </w:rPr>
    </w:lvl>
    <w:lvl w:ilvl="1">
      <w:start w:val="1"/>
      <w:numFmt w:val="decimal"/>
      <w:isLgl w:val="false"/>
      <w:suff w:val="tab"/>
      <w:lvlText w:val="%1.%2"/>
      <w:lvlJc w:val="left"/>
      <w:pPr>
        <w:ind w:left="992" w:hanging="567"/>
        <w:tabs>
          <w:tab w:val="left" w:pos="992" w:leader="none"/>
        </w:tabs>
      </w:pPr>
      <w:rPr>
        <w:rFonts w:hint="eastAsia"/>
      </w:rPr>
    </w:lvl>
    <w:lvl w:ilvl="2">
      <w:start w:val="1"/>
      <w:numFmt w:val="decimal"/>
      <w:isLgl w:val="false"/>
      <w:suff w:val="tab"/>
      <w:lvlText w:val="%1.%2.%3"/>
      <w:lvlJc w:val="left"/>
      <w:pPr>
        <w:ind w:left="1418" w:hanging="567"/>
        <w:tabs>
          <w:tab w:val="left" w:pos="1418" w:leader="none"/>
        </w:tabs>
      </w:pPr>
      <w:rPr>
        <w:rFonts w:hint="eastAsia"/>
      </w:rPr>
    </w:lvl>
    <w:lvl w:ilvl="3">
      <w:start w:val="1"/>
      <w:numFmt w:val="decimal"/>
      <w:isLgl w:val="false"/>
      <w:suff w:val="tab"/>
      <w:lvlText w:val="%1.%2.%3.%4"/>
      <w:lvlJc w:val="left"/>
      <w:pPr>
        <w:ind w:left="1984" w:hanging="708"/>
        <w:tabs>
          <w:tab w:val="left" w:pos="1984" w:leader="none"/>
        </w:tabs>
      </w:pPr>
      <w:rPr>
        <w:rFonts w:hint="eastAsia"/>
      </w:rPr>
    </w:lvl>
    <w:lvl w:ilvl="4">
      <w:start w:val="1"/>
      <w:numFmt w:val="decimal"/>
      <w:isLgl w:val="false"/>
      <w:suff w:val="tab"/>
      <w:lvlText w:val="%1.%2.%3.%4.%5"/>
      <w:lvlJc w:val="left"/>
      <w:pPr>
        <w:ind w:left="2551" w:hanging="850"/>
        <w:tabs>
          <w:tab w:val="left" w:pos="2551" w:leader="none"/>
        </w:tabs>
      </w:pPr>
      <w:rPr>
        <w:rFonts w:hint="eastAsia"/>
      </w:rPr>
    </w:lvl>
    <w:lvl w:ilvl="5">
      <w:start w:val="1"/>
      <w:numFmt w:val="decimal"/>
      <w:isLgl w:val="false"/>
      <w:suff w:val="tab"/>
      <w:lvlText w:val="%1.%2.%3.%4.%5.%6"/>
      <w:lvlJc w:val="left"/>
      <w:pPr>
        <w:ind w:left="3260" w:hanging="1134"/>
        <w:tabs>
          <w:tab w:val="left" w:pos="3260" w:leader="none"/>
        </w:tabs>
      </w:pPr>
      <w:rPr>
        <w:rFonts w:hint="eastAsia"/>
      </w:rPr>
    </w:lvl>
    <w:lvl w:ilvl="6">
      <w:start w:val="1"/>
      <w:numFmt w:val="decimal"/>
      <w:isLgl w:val="false"/>
      <w:suff w:val="tab"/>
      <w:lvlText w:val="%1.%2.%3.%4.%5.%6.%7"/>
      <w:lvlJc w:val="left"/>
      <w:pPr>
        <w:ind w:left="3827" w:hanging="1276"/>
        <w:tabs>
          <w:tab w:val="left" w:pos="3827" w:leader="none"/>
        </w:tabs>
      </w:pPr>
      <w:rPr>
        <w:rFonts w:hint="eastAsia"/>
      </w:rPr>
    </w:lvl>
    <w:lvl w:ilvl="7">
      <w:start w:val="1"/>
      <w:numFmt w:val="decimal"/>
      <w:isLgl w:val="false"/>
      <w:suff w:val="tab"/>
      <w:lvlText w:val="%1.%2.%3.%4.%5.%6.%7.%8"/>
      <w:lvlJc w:val="left"/>
      <w:pPr>
        <w:ind w:left="4394" w:hanging="1418"/>
        <w:tabs>
          <w:tab w:val="left" w:pos="4394" w:leader="none"/>
        </w:tabs>
      </w:pPr>
      <w:rPr>
        <w:rFonts w:hint="eastAsia"/>
      </w:rPr>
    </w:lvl>
    <w:lvl w:ilvl="8">
      <w:start w:val="1"/>
      <w:numFmt w:val="decimal"/>
      <w:isLgl w:val="false"/>
      <w:suff w:val="tab"/>
      <w:lvlText w:val="%1.%2.%3.%4.%5.%6.%7.%8.%9"/>
      <w:lvlJc w:val="left"/>
      <w:pPr>
        <w:ind w:left="5102" w:hanging="1700"/>
        <w:tabs>
          <w:tab w:val="left" w:pos="5102" w:leader="none"/>
        </w:tabs>
      </w:pPr>
      <w:rPr>
        <w:rFonts w:hint="eastAsia"/>
      </w:rPr>
    </w:lvl>
  </w:abstractNum>
  <w:num w:numId="1">
    <w:abstractNumId w:val="3"/>
  </w:num>
  <w:num w:numId="2">
    <w:abstractNumId w:val="2"/>
  </w:num>
  <w:num w:numId="3">
    <w:abstractNumId w:val="8"/>
  </w:num>
  <w:num w:numId="4">
    <w:abstractNumId w:val="1"/>
  </w:num>
  <w:num w:numId="5">
    <w:abstractNumId w:val="0"/>
  </w:num>
  <w:num w:numId="6">
    <w:abstractNumId w:val="5"/>
  </w:num>
  <w:num w:numId="7">
    <w:abstractNumId w:val="6"/>
  </w:num>
  <w:num w:numId="8">
    <w:abstractNumId w:val="9"/>
  </w:num>
  <w:num w:numId="9">
    <w:abstractNumId w:val="4"/>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9" w:default="1">
    <w:name w:val="Normal"/>
    <w:next w:val="791"/>
    <w:link w:val="104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0">
    <w:name w:val="Heading 1"/>
    <w:basedOn w:val="779"/>
    <w:next w:val="779"/>
    <w:link w:val="826"/>
    <w:uiPriority w:val="9"/>
    <w:qFormat/>
    <w:pPr>
      <w:keepLines/>
      <w:keepNext/>
      <w:spacing w:before="480" w:after="200"/>
      <w:outlineLvl w:val="0"/>
    </w:pPr>
    <w:rPr>
      <w:rFonts w:ascii="Arial" w:hAnsi="Arial" w:eastAsia="Arial" w:cs="Arial"/>
      <w:sz w:val="40"/>
      <w:szCs w:val="40"/>
    </w:rPr>
  </w:style>
  <w:style w:type="paragraph" w:styleId="781">
    <w:name w:val="Heading 2"/>
    <w:basedOn w:val="779"/>
    <w:next w:val="779"/>
    <w:link w:val="827"/>
    <w:uiPriority w:val="9"/>
    <w:unhideWhenUsed/>
    <w:qFormat/>
    <w:pPr>
      <w:keepLines/>
      <w:keepNext/>
      <w:spacing w:before="360" w:after="200"/>
      <w:outlineLvl w:val="1"/>
    </w:pPr>
    <w:rPr>
      <w:rFonts w:ascii="Arial" w:hAnsi="Arial" w:eastAsia="Arial" w:cs="Arial"/>
      <w:sz w:val="34"/>
    </w:rPr>
  </w:style>
  <w:style w:type="paragraph" w:styleId="782">
    <w:name w:val="Heading 3"/>
    <w:basedOn w:val="779"/>
    <w:next w:val="779"/>
    <w:link w:val="828"/>
    <w:uiPriority w:val="9"/>
    <w:unhideWhenUsed/>
    <w:qFormat/>
    <w:pPr>
      <w:keepLines/>
      <w:keepNext/>
      <w:spacing w:before="320" w:after="200"/>
      <w:outlineLvl w:val="2"/>
    </w:pPr>
    <w:rPr>
      <w:rFonts w:ascii="Arial" w:hAnsi="Arial" w:eastAsia="Arial" w:cs="Arial"/>
      <w:sz w:val="30"/>
      <w:szCs w:val="30"/>
    </w:rPr>
  </w:style>
  <w:style w:type="paragraph" w:styleId="783">
    <w:name w:val="Heading 4"/>
    <w:basedOn w:val="779"/>
    <w:next w:val="779"/>
    <w:link w:val="829"/>
    <w:uiPriority w:val="9"/>
    <w:unhideWhenUsed/>
    <w:qFormat/>
    <w:pPr>
      <w:keepLines/>
      <w:keepNext/>
      <w:spacing w:before="320" w:after="200"/>
      <w:outlineLvl w:val="3"/>
    </w:pPr>
    <w:rPr>
      <w:rFonts w:ascii="Arial" w:hAnsi="Arial" w:eastAsia="Arial" w:cs="Arial"/>
      <w:b/>
      <w:bCs/>
      <w:sz w:val="26"/>
      <w:szCs w:val="26"/>
    </w:rPr>
  </w:style>
  <w:style w:type="paragraph" w:styleId="784">
    <w:name w:val="Heading 5"/>
    <w:basedOn w:val="779"/>
    <w:next w:val="779"/>
    <w:link w:val="830"/>
    <w:uiPriority w:val="9"/>
    <w:unhideWhenUsed/>
    <w:qFormat/>
    <w:pPr>
      <w:keepLines/>
      <w:keepNext/>
      <w:spacing w:before="320" w:after="200"/>
      <w:outlineLvl w:val="4"/>
    </w:pPr>
    <w:rPr>
      <w:rFonts w:ascii="Arial" w:hAnsi="Arial" w:eastAsia="Arial" w:cs="Arial"/>
      <w:b/>
      <w:bCs/>
      <w:sz w:val="24"/>
      <w:szCs w:val="24"/>
    </w:rPr>
  </w:style>
  <w:style w:type="paragraph" w:styleId="785">
    <w:name w:val="Heading 6"/>
    <w:basedOn w:val="779"/>
    <w:next w:val="779"/>
    <w:link w:val="831"/>
    <w:uiPriority w:val="9"/>
    <w:unhideWhenUsed/>
    <w:qFormat/>
    <w:pPr>
      <w:keepLines/>
      <w:keepNext/>
      <w:spacing w:before="320" w:after="200"/>
      <w:outlineLvl w:val="5"/>
    </w:pPr>
    <w:rPr>
      <w:rFonts w:ascii="Arial" w:hAnsi="Arial" w:eastAsia="Arial" w:cs="Arial"/>
      <w:b/>
      <w:bCs/>
      <w:sz w:val="22"/>
      <w:szCs w:val="22"/>
    </w:rPr>
  </w:style>
  <w:style w:type="paragraph" w:styleId="786">
    <w:name w:val="Heading 7"/>
    <w:basedOn w:val="779"/>
    <w:next w:val="779"/>
    <w:link w:val="832"/>
    <w:uiPriority w:val="9"/>
    <w:unhideWhenUsed/>
    <w:qFormat/>
    <w:pPr>
      <w:keepLines/>
      <w:keepNext/>
      <w:spacing w:before="320" w:after="200"/>
      <w:outlineLvl w:val="6"/>
    </w:pPr>
    <w:rPr>
      <w:rFonts w:ascii="Arial" w:hAnsi="Arial" w:eastAsia="Arial" w:cs="Arial"/>
      <w:b/>
      <w:bCs/>
      <w:i/>
      <w:iCs/>
      <w:sz w:val="22"/>
      <w:szCs w:val="22"/>
    </w:rPr>
  </w:style>
  <w:style w:type="paragraph" w:styleId="787">
    <w:name w:val="Heading 8"/>
    <w:basedOn w:val="779"/>
    <w:next w:val="779"/>
    <w:link w:val="833"/>
    <w:uiPriority w:val="9"/>
    <w:unhideWhenUsed/>
    <w:qFormat/>
    <w:pPr>
      <w:keepLines/>
      <w:keepNext/>
      <w:spacing w:before="320" w:after="200"/>
      <w:outlineLvl w:val="7"/>
    </w:pPr>
    <w:rPr>
      <w:rFonts w:ascii="Arial" w:hAnsi="Arial" w:eastAsia="Arial" w:cs="Arial"/>
      <w:i/>
      <w:iCs/>
      <w:sz w:val="22"/>
      <w:szCs w:val="22"/>
    </w:rPr>
  </w:style>
  <w:style w:type="paragraph" w:styleId="788">
    <w:name w:val="Heading 9"/>
    <w:basedOn w:val="779"/>
    <w:next w:val="779"/>
    <w:link w:val="834"/>
    <w:uiPriority w:val="9"/>
    <w:unhideWhenUsed/>
    <w:qFormat/>
    <w:pPr>
      <w:keepLines/>
      <w:keepNext/>
      <w:spacing w:before="320" w:after="200"/>
      <w:outlineLvl w:val="8"/>
    </w:pPr>
    <w:rPr>
      <w:rFonts w:ascii="Arial" w:hAnsi="Arial" w:eastAsia="Arial" w:cs="Arial"/>
      <w:i/>
      <w:iCs/>
      <w:sz w:val="21"/>
      <w:szCs w:val="21"/>
    </w:rPr>
  </w:style>
  <w:style w:type="character" w:styleId="789" w:default="1">
    <w:name w:val="Default Paragraph Font"/>
    <w:uiPriority w:val="1"/>
    <w:semiHidden/>
    <w:unhideWhenUsed/>
    <w:qFormat/>
  </w:style>
  <w:style w:type="table" w:styleId="790" w:default="1">
    <w:name w:val="Normal Table"/>
    <w:uiPriority w:val="99"/>
    <w:semiHidden/>
    <w:unhideWhenUsed/>
    <w:qFormat/>
    <w:tblPr>
      <w:tblCellMar>
        <w:left w:w="108" w:type="dxa"/>
        <w:top w:w="0" w:type="dxa"/>
        <w:right w:w="108" w:type="dxa"/>
        <w:bottom w:w="0" w:type="dxa"/>
      </w:tblCellMar>
    </w:tblPr>
  </w:style>
  <w:style w:type="paragraph" w:styleId="791" w:customStyle="1">
    <w:name w:val="正文文本缩进11"/>
    <w:basedOn w:val="779"/>
    <w:next w:val="779"/>
    <w:uiPriority w:val="0"/>
    <w:qFormat/>
    <w:pPr>
      <w:ind w:left="420"/>
      <w:spacing w:after="120"/>
    </w:pPr>
  </w:style>
  <w:style w:type="paragraph" w:styleId="792">
    <w:name w:val="toc 7"/>
    <w:basedOn w:val="779"/>
    <w:next w:val="779"/>
    <w:uiPriority w:val="39"/>
    <w:unhideWhenUsed/>
    <w:qFormat/>
    <w:pPr>
      <w:ind w:left="1701" w:right="0" w:firstLine="0"/>
      <w:spacing w:after="57"/>
    </w:pPr>
  </w:style>
  <w:style w:type="paragraph" w:styleId="793">
    <w:name w:val="Normal Indent"/>
    <w:basedOn w:val="779"/>
    <w:next w:val="779"/>
    <w:uiPriority w:val="0"/>
    <w:qFormat/>
    <w:pPr>
      <w:ind w:left="420" w:firstLine="4772"/>
    </w:pPr>
  </w:style>
  <w:style w:type="paragraph" w:styleId="794">
    <w:name w:val="Caption"/>
    <w:basedOn w:val="779"/>
    <w:next w:val="779"/>
    <w:uiPriority w:val="35"/>
    <w:semiHidden/>
    <w:unhideWhenUsed/>
    <w:qFormat/>
    <w:pPr>
      <w:spacing w:line="276" w:lineRule="auto"/>
    </w:pPr>
    <w:rPr>
      <w:b/>
      <w:bCs/>
      <w:color w:val="4f81bd" w:themeColor="accent1"/>
      <w:sz w:val="18"/>
      <w:szCs w:val="18"/>
    </w:rPr>
  </w:style>
  <w:style w:type="paragraph" w:styleId="795">
    <w:name w:val="annotation text"/>
    <w:basedOn w:val="779"/>
    <w:uiPriority w:val="99"/>
    <w:semiHidden/>
    <w:unhideWhenUsed/>
    <w:qFormat/>
    <w:pPr>
      <w:jc w:val="left"/>
    </w:pPr>
  </w:style>
  <w:style w:type="paragraph" w:styleId="796">
    <w:name w:val="Body Text"/>
    <w:basedOn w:val="779"/>
    <w:uiPriority w:val="99"/>
    <w:unhideWhenUsed/>
    <w:qFormat/>
    <w:pPr>
      <w:spacing w:after="120"/>
    </w:pPr>
  </w:style>
  <w:style w:type="paragraph" w:styleId="797">
    <w:name w:val="Body Text Indent"/>
    <w:basedOn w:val="779"/>
    <w:next w:val="779"/>
    <w:uiPriority w:val="0"/>
    <w:qFormat/>
    <w:pPr>
      <w:ind w:firstLine="567"/>
      <w:spacing w:line="500" w:lineRule="exact"/>
      <w:widowControl/>
      <w:tabs>
        <w:tab w:val="left" w:pos="0" w:leader="none"/>
        <w:tab w:val="left" w:pos="993" w:leader="none"/>
        <w:tab w:val="left" w:pos="1134" w:leader="none"/>
      </w:tabs>
    </w:pPr>
    <w:rPr>
      <w:rFonts w:ascii="宋体"/>
    </w:rPr>
  </w:style>
  <w:style w:type="paragraph" w:styleId="798">
    <w:name w:val="toc 5"/>
    <w:basedOn w:val="779"/>
    <w:next w:val="779"/>
    <w:uiPriority w:val="39"/>
    <w:unhideWhenUsed/>
    <w:qFormat/>
    <w:pPr>
      <w:ind w:left="1134" w:right="0" w:firstLine="0"/>
      <w:spacing w:after="57"/>
    </w:pPr>
  </w:style>
  <w:style w:type="paragraph" w:styleId="799">
    <w:name w:val="toc 3"/>
    <w:basedOn w:val="779"/>
    <w:next w:val="779"/>
    <w:uiPriority w:val="39"/>
    <w:unhideWhenUsed/>
    <w:qFormat/>
    <w:pPr>
      <w:ind w:left="567" w:right="0" w:firstLine="0"/>
      <w:spacing w:after="57"/>
    </w:pPr>
  </w:style>
  <w:style w:type="paragraph" w:styleId="800">
    <w:name w:val="Plain Text"/>
    <w:basedOn w:val="779"/>
    <w:link w:val="1033"/>
    <w:uiPriority w:val="0"/>
    <w:qFormat/>
    <w:rPr>
      <w:rFonts w:ascii="宋体" w:hAnsi="Courier New" w:eastAsia="楷体_GB2312"/>
      <w:sz w:val="26"/>
      <w:szCs w:val="20"/>
    </w:rPr>
  </w:style>
  <w:style w:type="paragraph" w:styleId="801">
    <w:name w:val="toc 8"/>
    <w:basedOn w:val="779"/>
    <w:next w:val="779"/>
    <w:uiPriority w:val="39"/>
    <w:unhideWhenUsed/>
    <w:qFormat/>
    <w:pPr>
      <w:ind w:left="1984" w:right="0" w:firstLine="0"/>
      <w:spacing w:after="57"/>
    </w:pPr>
  </w:style>
  <w:style w:type="paragraph" w:styleId="802">
    <w:name w:val="Date"/>
    <w:basedOn w:val="779"/>
    <w:next w:val="779"/>
    <w:uiPriority w:val="0"/>
    <w:qFormat/>
    <w:rPr>
      <w:b/>
      <w:bCs/>
      <w:spacing w:val="20"/>
      <w:sz w:val="20"/>
    </w:rPr>
  </w:style>
  <w:style w:type="paragraph" w:styleId="803">
    <w:name w:val="endnote text"/>
    <w:basedOn w:val="779"/>
    <w:link w:val="971"/>
    <w:uiPriority w:val="99"/>
    <w:semiHidden/>
    <w:unhideWhenUsed/>
    <w:qFormat/>
    <w:pPr>
      <w:spacing w:after="0" w:line="240" w:lineRule="auto"/>
    </w:pPr>
    <w:rPr>
      <w:sz w:val="20"/>
    </w:rPr>
  </w:style>
  <w:style w:type="paragraph" w:styleId="804">
    <w:name w:val="Footer"/>
    <w:basedOn w:val="779"/>
    <w:link w:val="844"/>
    <w:uiPriority w:val="99"/>
    <w:unhideWhenUsed/>
    <w:qFormat/>
    <w:pPr>
      <w:spacing w:after="0" w:line="240" w:lineRule="auto"/>
      <w:tabs>
        <w:tab w:val="center" w:pos="7143" w:leader="none"/>
        <w:tab w:val="right" w:pos="14287" w:leader="none"/>
      </w:tabs>
    </w:pPr>
  </w:style>
  <w:style w:type="paragraph" w:styleId="805">
    <w:name w:val="envelope return"/>
    <w:basedOn w:val="779"/>
    <w:uiPriority w:val="0"/>
    <w:qFormat/>
    <w:rPr>
      <w:rFonts w:ascii="Arial" w:hAnsi="Arial"/>
    </w:rPr>
  </w:style>
  <w:style w:type="paragraph" w:styleId="806">
    <w:name w:val="Header"/>
    <w:basedOn w:val="779"/>
    <w:link w:val="842"/>
    <w:uiPriority w:val="99"/>
    <w:unhideWhenUsed/>
    <w:qFormat/>
    <w:pPr>
      <w:spacing w:after="0" w:line="240" w:lineRule="auto"/>
      <w:tabs>
        <w:tab w:val="center" w:pos="7143" w:leader="none"/>
        <w:tab w:val="right" w:pos="14287" w:leader="none"/>
      </w:tabs>
    </w:pPr>
  </w:style>
  <w:style w:type="paragraph" w:styleId="807">
    <w:name w:val="toc 1"/>
    <w:basedOn w:val="779"/>
    <w:next w:val="779"/>
    <w:uiPriority w:val="39"/>
    <w:unhideWhenUsed/>
    <w:qFormat/>
    <w:pPr>
      <w:ind w:left="0" w:right="0" w:firstLine="0"/>
      <w:spacing w:after="57"/>
    </w:pPr>
  </w:style>
  <w:style w:type="paragraph" w:styleId="808">
    <w:name w:val="toc 4"/>
    <w:basedOn w:val="779"/>
    <w:next w:val="779"/>
    <w:uiPriority w:val="39"/>
    <w:unhideWhenUsed/>
    <w:qFormat/>
    <w:pPr>
      <w:ind w:left="850" w:right="0" w:firstLine="0"/>
      <w:spacing w:after="57"/>
    </w:pPr>
  </w:style>
  <w:style w:type="paragraph" w:styleId="809">
    <w:name w:val="Subtitle"/>
    <w:basedOn w:val="779"/>
    <w:next w:val="779"/>
    <w:link w:val="837"/>
    <w:uiPriority w:val="11"/>
    <w:qFormat/>
    <w:pPr>
      <w:spacing w:before="200" w:after="200"/>
    </w:pPr>
    <w:rPr>
      <w:sz w:val="24"/>
      <w:szCs w:val="24"/>
    </w:rPr>
  </w:style>
  <w:style w:type="paragraph" w:styleId="810">
    <w:name w:val="footnote text"/>
    <w:basedOn w:val="779"/>
    <w:link w:val="970"/>
    <w:uiPriority w:val="99"/>
    <w:semiHidden/>
    <w:unhideWhenUsed/>
    <w:qFormat/>
    <w:pPr>
      <w:spacing w:after="40" w:line="240" w:lineRule="auto"/>
    </w:pPr>
    <w:rPr>
      <w:sz w:val="18"/>
    </w:rPr>
  </w:style>
  <w:style w:type="paragraph" w:styleId="811">
    <w:name w:val="toc 6"/>
    <w:basedOn w:val="779"/>
    <w:next w:val="779"/>
    <w:uiPriority w:val="39"/>
    <w:unhideWhenUsed/>
    <w:qFormat/>
    <w:pPr>
      <w:ind w:left="1417" w:right="0" w:firstLine="0"/>
      <w:spacing w:after="57"/>
    </w:pPr>
  </w:style>
  <w:style w:type="paragraph" w:styleId="812">
    <w:name w:val="table of figures"/>
    <w:basedOn w:val="779"/>
    <w:next w:val="779"/>
    <w:uiPriority w:val="99"/>
    <w:unhideWhenUsed/>
    <w:qFormat/>
    <w:pPr>
      <w:spacing w:after="0" w:afterAutospacing="0"/>
    </w:pPr>
  </w:style>
  <w:style w:type="paragraph" w:styleId="813">
    <w:name w:val="toc 2"/>
    <w:basedOn w:val="779"/>
    <w:next w:val="779"/>
    <w:uiPriority w:val="39"/>
    <w:unhideWhenUsed/>
    <w:qFormat/>
    <w:pPr>
      <w:ind w:left="283" w:right="0" w:firstLine="0"/>
      <w:spacing w:after="57"/>
    </w:pPr>
  </w:style>
  <w:style w:type="paragraph" w:styleId="814">
    <w:name w:val="toc 9"/>
    <w:basedOn w:val="779"/>
    <w:next w:val="779"/>
    <w:uiPriority w:val="39"/>
    <w:unhideWhenUsed/>
    <w:qFormat/>
    <w:pPr>
      <w:ind w:left="2268" w:right="0" w:firstLine="0"/>
      <w:spacing w:after="57"/>
    </w:pPr>
  </w:style>
  <w:style w:type="paragraph" w:styleId="815">
    <w:name w:val="Normal (Web)"/>
    <w:basedOn w:val="779"/>
    <w:uiPriority w:val="99"/>
    <w:semiHidden/>
    <w:unhideWhenUsed/>
    <w:qFormat/>
    <w:rPr>
      <w:sz w:val="24"/>
    </w:rPr>
  </w:style>
  <w:style w:type="paragraph" w:styleId="816">
    <w:name w:val="Title"/>
    <w:basedOn w:val="779"/>
    <w:next w:val="779"/>
    <w:link w:val="836"/>
    <w:uiPriority w:val="10"/>
    <w:qFormat/>
    <w:pPr>
      <w:contextualSpacing/>
      <w:spacing w:before="300" w:after="200"/>
    </w:pPr>
    <w:rPr>
      <w:sz w:val="48"/>
      <w:szCs w:val="48"/>
    </w:rPr>
  </w:style>
  <w:style w:type="table" w:styleId="81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8">
    <w:name w:val="endnote reference"/>
    <w:uiPriority w:val="99"/>
    <w:semiHidden/>
    <w:unhideWhenUsed/>
    <w:qFormat/>
    <w:rPr>
      <w:vertAlign w:val="superscript"/>
    </w:rPr>
  </w:style>
  <w:style w:type="character" w:styleId="819">
    <w:name w:val="Emphasis"/>
    <w:uiPriority w:val="0"/>
    <w:qFormat/>
    <w:rPr>
      <w:i/>
    </w:rPr>
  </w:style>
  <w:style w:type="character" w:styleId="820">
    <w:name w:val="Hyperlink"/>
    <w:uiPriority w:val="99"/>
    <w:unhideWhenUsed/>
    <w:qFormat/>
    <w:rPr>
      <w:color w:val="0000ff" w:themeColor="hyperlink"/>
      <w:u w:val="single"/>
    </w:rPr>
  </w:style>
  <w:style w:type="character" w:styleId="821">
    <w:name w:val="footnote reference"/>
    <w:uiPriority w:val="99"/>
    <w:unhideWhenUsed/>
    <w:qFormat/>
    <w:rPr>
      <w:vertAlign w:val="superscript"/>
    </w:rPr>
  </w:style>
  <w:style w:type="paragraph" w:styleId="822" w:customStyle="1">
    <w:name w:val="_Style 3"/>
    <w:basedOn w:val="779"/>
    <w:uiPriority w:val="99"/>
    <w:qFormat/>
    <w:rPr>
      <w:szCs w:val="21"/>
    </w:rPr>
  </w:style>
  <w:style w:type="paragraph" w:styleId="823" w:customStyle="1">
    <w:name w:val="正文首行缩进 211"/>
    <w:basedOn w:val="791"/>
    <w:uiPriority w:val="0"/>
    <w:qFormat/>
    <w:pPr>
      <w:ind w:left="420" w:firstLine="420"/>
      <w:spacing w:before="100" w:beforeAutospacing="1" w:after="120" w:line="240" w:lineRule="auto"/>
    </w:pPr>
  </w:style>
  <w:style w:type="paragraph" w:styleId="824" w:customStyle="1">
    <w:name w:val="正文首行缩进 21"/>
    <w:basedOn w:val="825"/>
    <w:uiPriority w:val="99"/>
    <w:unhideWhenUsed/>
    <w:qFormat/>
    <w:pPr>
      <w:ind w:firstLine="420"/>
    </w:pPr>
    <w:rPr>
      <w:rFonts w:ascii="Calibri" w:hAnsi="Calibri"/>
    </w:rPr>
  </w:style>
  <w:style w:type="paragraph" w:styleId="825" w:customStyle="1">
    <w:name w:val="正文文本缩进1"/>
    <w:basedOn w:val="779"/>
    <w:next w:val="779"/>
    <w:uiPriority w:val="0"/>
    <w:qFormat/>
    <w:pPr>
      <w:ind w:firstLine="425"/>
      <w:spacing w:line="360" w:lineRule="auto"/>
    </w:pPr>
    <w:rPr>
      <w:sz w:val="24"/>
    </w:rPr>
  </w:style>
  <w:style w:type="character" w:styleId="826" w:customStyle="1">
    <w:name w:val="Heading 1 Char"/>
    <w:link w:val="780"/>
    <w:uiPriority w:val="9"/>
    <w:qFormat/>
    <w:rPr>
      <w:rFonts w:ascii="Arial" w:hAnsi="Arial" w:eastAsia="Arial" w:cs="Arial"/>
      <w:sz w:val="40"/>
      <w:szCs w:val="40"/>
    </w:rPr>
  </w:style>
  <w:style w:type="character" w:styleId="827" w:customStyle="1">
    <w:name w:val="Heading 2 Char"/>
    <w:link w:val="781"/>
    <w:uiPriority w:val="9"/>
    <w:qFormat/>
    <w:rPr>
      <w:rFonts w:ascii="Arial" w:hAnsi="Arial" w:eastAsia="Arial" w:cs="Arial"/>
      <w:sz w:val="34"/>
    </w:rPr>
  </w:style>
  <w:style w:type="character" w:styleId="828" w:customStyle="1">
    <w:name w:val="Heading 3 Char"/>
    <w:link w:val="782"/>
    <w:uiPriority w:val="9"/>
    <w:qFormat/>
    <w:rPr>
      <w:rFonts w:ascii="Arial" w:hAnsi="Arial" w:eastAsia="Arial" w:cs="Arial"/>
      <w:sz w:val="30"/>
      <w:szCs w:val="30"/>
    </w:rPr>
  </w:style>
  <w:style w:type="character" w:styleId="829" w:customStyle="1">
    <w:name w:val="Heading 4 Char"/>
    <w:link w:val="783"/>
    <w:uiPriority w:val="9"/>
    <w:qFormat/>
    <w:rPr>
      <w:rFonts w:ascii="Arial" w:hAnsi="Arial" w:eastAsia="Arial" w:cs="Arial"/>
      <w:b/>
      <w:bCs/>
      <w:sz w:val="26"/>
      <w:szCs w:val="26"/>
    </w:rPr>
  </w:style>
  <w:style w:type="character" w:styleId="830" w:customStyle="1">
    <w:name w:val="Heading 5 Char"/>
    <w:link w:val="784"/>
    <w:uiPriority w:val="9"/>
    <w:qFormat/>
    <w:rPr>
      <w:rFonts w:ascii="Arial" w:hAnsi="Arial" w:eastAsia="Arial" w:cs="Arial"/>
      <w:b/>
      <w:bCs/>
      <w:sz w:val="24"/>
      <w:szCs w:val="24"/>
    </w:rPr>
  </w:style>
  <w:style w:type="character" w:styleId="831" w:customStyle="1">
    <w:name w:val="Heading 6 Char"/>
    <w:link w:val="785"/>
    <w:uiPriority w:val="9"/>
    <w:qFormat/>
    <w:rPr>
      <w:rFonts w:ascii="Arial" w:hAnsi="Arial" w:eastAsia="Arial" w:cs="Arial"/>
      <w:b/>
      <w:bCs/>
      <w:sz w:val="22"/>
      <w:szCs w:val="22"/>
    </w:rPr>
  </w:style>
  <w:style w:type="character" w:styleId="832" w:customStyle="1">
    <w:name w:val="Heading 7 Char"/>
    <w:link w:val="786"/>
    <w:uiPriority w:val="9"/>
    <w:qFormat/>
    <w:rPr>
      <w:rFonts w:ascii="Arial" w:hAnsi="Arial" w:eastAsia="Arial" w:cs="Arial"/>
      <w:b/>
      <w:bCs/>
      <w:i/>
      <w:iCs/>
      <w:sz w:val="22"/>
      <w:szCs w:val="22"/>
    </w:rPr>
  </w:style>
  <w:style w:type="character" w:styleId="833" w:customStyle="1">
    <w:name w:val="Heading 8 Char"/>
    <w:link w:val="787"/>
    <w:uiPriority w:val="9"/>
    <w:qFormat/>
    <w:rPr>
      <w:rFonts w:ascii="Arial" w:hAnsi="Arial" w:eastAsia="Arial" w:cs="Arial"/>
      <w:i/>
      <w:iCs/>
      <w:sz w:val="22"/>
      <w:szCs w:val="22"/>
    </w:rPr>
  </w:style>
  <w:style w:type="character" w:styleId="834" w:customStyle="1">
    <w:name w:val="Heading 9 Char"/>
    <w:link w:val="788"/>
    <w:uiPriority w:val="9"/>
    <w:qFormat/>
    <w:rPr>
      <w:rFonts w:ascii="Arial" w:hAnsi="Arial" w:eastAsia="Arial" w:cs="Arial"/>
      <w:i/>
      <w:iCs/>
      <w:sz w:val="21"/>
      <w:szCs w:val="21"/>
    </w:rPr>
  </w:style>
  <w:style w:type="paragraph" w:styleId="835">
    <w:name w:val="No Spacing"/>
    <w:uiPriority w:val="1"/>
    <w:qFormat/>
    <w:pPr>
      <w:spacing w:before="0" w:after="0" w:line="240" w:lineRule="auto"/>
    </w:pPr>
    <w:rPr>
      <w:rFonts w:hint="default" w:ascii="Times New Roman" w:hAnsi="Times New Roman" w:eastAsia="宋体" w:cs="Times New Roman"/>
    </w:rPr>
  </w:style>
  <w:style w:type="character" w:styleId="836" w:customStyle="1">
    <w:name w:val="Title Char"/>
    <w:link w:val="816"/>
    <w:uiPriority w:val="10"/>
    <w:qFormat/>
    <w:rPr>
      <w:sz w:val="48"/>
      <w:szCs w:val="48"/>
    </w:rPr>
  </w:style>
  <w:style w:type="character" w:styleId="837" w:customStyle="1">
    <w:name w:val="Subtitle Char"/>
    <w:link w:val="809"/>
    <w:uiPriority w:val="11"/>
    <w:qFormat/>
    <w:rPr>
      <w:sz w:val="24"/>
      <w:szCs w:val="24"/>
    </w:rPr>
  </w:style>
  <w:style w:type="paragraph" w:styleId="838">
    <w:name w:val="Quote"/>
    <w:basedOn w:val="779"/>
    <w:next w:val="779"/>
    <w:link w:val="839"/>
    <w:uiPriority w:val="29"/>
    <w:qFormat/>
    <w:pPr>
      <w:ind w:left="720" w:right="720"/>
    </w:pPr>
    <w:rPr>
      <w:i/>
    </w:rPr>
  </w:style>
  <w:style w:type="character" w:styleId="839" w:customStyle="1">
    <w:name w:val="Quote Char"/>
    <w:link w:val="838"/>
    <w:uiPriority w:val="29"/>
    <w:qFormat/>
    <w:rPr>
      <w:i/>
    </w:rPr>
  </w:style>
  <w:style w:type="paragraph" w:styleId="840">
    <w:name w:val="Intense Quote"/>
    <w:basedOn w:val="779"/>
    <w:next w:val="779"/>
    <w:link w:val="84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1" w:customStyle="1">
    <w:name w:val="Intense Quote Char"/>
    <w:link w:val="840"/>
    <w:uiPriority w:val="30"/>
    <w:qFormat/>
    <w:rPr>
      <w:i/>
    </w:rPr>
  </w:style>
  <w:style w:type="character" w:styleId="842" w:customStyle="1">
    <w:name w:val="Header Char"/>
    <w:link w:val="806"/>
    <w:uiPriority w:val="99"/>
    <w:qFormat/>
  </w:style>
  <w:style w:type="character" w:styleId="843" w:customStyle="1">
    <w:name w:val="Footer Char"/>
    <w:link w:val="804"/>
    <w:uiPriority w:val="99"/>
    <w:qFormat/>
  </w:style>
  <w:style w:type="character" w:styleId="844" w:customStyle="1">
    <w:name w:val="Caption Char"/>
    <w:link w:val="804"/>
    <w:uiPriority w:val="99"/>
    <w:qFormat/>
  </w:style>
  <w:style w:type="table" w:styleId="84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8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8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8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9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9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9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9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2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3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3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3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3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3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3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3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93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93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93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4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4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4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0" w:customStyle="1">
    <w:name w:val="Footnote Text Char"/>
    <w:link w:val="810"/>
    <w:uiPriority w:val="99"/>
    <w:qFormat/>
    <w:rPr>
      <w:sz w:val="18"/>
    </w:rPr>
  </w:style>
  <w:style w:type="character" w:styleId="971" w:customStyle="1">
    <w:name w:val="Endnote Text Char"/>
    <w:link w:val="803"/>
    <w:uiPriority w:val="99"/>
    <w:qFormat/>
    <w:rPr>
      <w:sz w:val="20"/>
    </w:rPr>
  </w:style>
  <w:style w:type="paragraph" w:styleId="972" w:customStyle="1">
    <w:name w:val="TOC Heading"/>
    <w:uiPriority w:val="39"/>
    <w:unhideWhenUsed/>
    <w:qFormat/>
    <w:rPr>
      <w:rFonts w:hint="default" w:ascii="Times New Roman" w:hAnsi="Times New Roman" w:eastAsia="宋体" w:cs="Times New Roman"/>
    </w:rPr>
  </w:style>
  <w:style w:type="paragraph" w:styleId="973" w:customStyle="1">
    <w:name w:val="标题 11"/>
    <w:basedOn w:val="779"/>
    <w:next w:val="779"/>
    <w:uiPriority w:val="0"/>
    <w:qFormat/>
    <w:pPr>
      <w:numPr>
        <w:ilvl w:val="0"/>
        <w:numId w:val="1"/>
      </w:numPr>
      <w:keepLines/>
      <w:keepNext/>
      <w:spacing w:before="340" w:after="330" w:line="576" w:lineRule="auto"/>
      <w:outlineLvl w:val="0"/>
    </w:pPr>
    <w:rPr>
      <w:rFonts w:eastAsia="楷体_GB2312"/>
      <w:b/>
      <w:sz w:val="44"/>
      <w:szCs w:val="20"/>
    </w:rPr>
  </w:style>
  <w:style w:type="paragraph" w:styleId="974" w:customStyle="1">
    <w:name w:val="标题 21"/>
    <w:basedOn w:val="779"/>
    <w:next w:val="779"/>
    <w:link w:val="984"/>
    <w:uiPriority w:val="0"/>
    <w:qFormat/>
    <w:pPr>
      <w:numPr>
        <w:ilvl w:val="1"/>
        <w:numId w:val="1"/>
      </w:numPr>
      <w:spacing w:before="624" w:after="312"/>
      <w:outlineLvl w:val="1"/>
    </w:pPr>
    <w:rPr>
      <w:rFonts w:ascii="Arial" w:hAnsi="Arial" w:eastAsia="黑体"/>
      <w:b/>
      <w:bCs/>
      <w:color w:val="000000"/>
      <w:spacing w:val="16"/>
      <w:sz w:val="28"/>
      <w:szCs w:val="32"/>
    </w:rPr>
  </w:style>
  <w:style w:type="paragraph" w:styleId="975" w:customStyle="1">
    <w:name w:val="标题 31"/>
    <w:basedOn w:val="779"/>
    <w:next w:val="779"/>
    <w:link w:val="985"/>
    <w:uiPriority w:val="0"/>
    <w:qFormat/>
    <w:pPr>
      <w:numPr>
        <w:ilvl w:val="2"/>
        <w:numId w:val="1"/>
      </w:numPr>
      <w:ind w:right="238"/>
      <w:spacing w:before="468" w:after="468"/>
      <w:outlineLvl w:val="2"/>
    </w:pPr>
    <w:rPr>
      <w:rFonts w:ascii="宋体"/>
      <w:b/>
      <w:bCs/>
      <w:color w:val="000000"/>
      <w:spacing w:val="40"/>
      <w:sz w:val="24"/>
      <w:szCs w:val="32"/>
    </w:rPr>
  </w:style>
  <w:style w:type="paragraph" w:styleId="976" w:customStyle="1">
    <w:name w:val="标题 41"/>
    <w:basedOn w:val="779"/>
    <w:next w:val="779"/>
    <w:uiPriority w:val="0"/>
    <w:qFormat/>
    <w:pPr>
      <w:numPr>
        <w:ilvl w:val="3"/>
        <w:numId w:val="1"/>
      </w:numPr>
      <w:ind w:left="0" w:firstLine="402"/>
      <w:spacing w:before="468" w:after="468"/>
      <w:outlineLvl w:val="3"/>
    </w:pPr>
    <w:rPr>
      <w:rFonts w:ascii="宋体" w:hAnsi="宋体"/>
      <w:color w:val="000000"/>
      <w:sz w:val="24"/>
      <w:szCs w:val="28"/>
      <w:u w:val="single"/>
      <w:lang w:val="en-US" w:eastAsia="zh-CN" w:bidi="ar-SA"/>
    </w:rPr>
  </w:style>
  <w:style w:type="paragraph" w:styleId="977" w:customStyle="1">
    <w:name w:val="标题 51"/>
    <w:basedOn w:val="779"/>
    <w:next w:val="779"/>
    <w:uiPriority w:val="0"/>
    <w:qFormat/>
    <w:pPr>
      <w:numPr>
        <w:ilvl w:val="4"/>
        <w:numId w:val="1"/>
      </w:numPr>
      <w:ind w:firstLine="402"/>
      <w:jc w:val="left"/>
      <w:keepLines/>
      <w:keepNext/>
      <w:spacing w:before="312" w:after="312"/>
      <w:outlineLvl w:val="4"/>
    </w:pPr>
    <w:rPr>
      <w:rFonts w:ascii="Arial" w:hAnsi="Arial" w:eastAsia="黑体" w:cs="Arial"/>
      <w:b/>
      <w:bCs/>
      <w:sz w:val="28"/>
      <w:szCs w:val="28"/>
    </w:rPr>
  </w:style>
  <w:style w:type="paragraph" w:styleId="978" w:customStyle="1">
    <w:name w:val="标题 61"/>
    <w:basedOn w:val="779"/>
    <w:next w:val="779"/>
    <w:uiPriority w:val="0"/>
    <w:qFormat/>
    <w:pPr>
      <w:numPr>
        <w:ilvl w:val="5"/>
        <w:numId w:val="1"/>
      </w:numPr>
      <w:ind w:firstLine="402"/>
      <w:keepLines/>
      <w:keepNext/>
      <w:spacing w:before="240" w:beforeAutospacing="0" w:after="64" w:afterAutospacing="0" w:line="317" w:lineRule="auto"/>
      <w:outlineLvl w:val="5"/>
    </w:pPr>
    <w:rPr>
      <w:rFonts w:ascii="Arial" w:hAnsi="Arial" w:eastAsia="黑体"/>
      <w:b/>
      <w:sz w:val="24"/>
    </w:rPr>
  </w:style>
  <w:style w:type="paragraph" w:styleId="979" w:customStyle="1">
    <w:name w:val="标题 71"/>
    <w:basedOn w:val="779"/>
    <w:next w:val="779"/>
    <w:uiPriority w:val="0"/>
    <w:qFormat/>
    <w:pPr>
      <w:numPr>
        <w:ilvl w:val="6"/>
        <w:numId w:val="1"/>
      </w:numPr>
      <w:ind w:firstLine="402"/>
      <w:keepLines/>
      <w:keepNext/>
      <w:spacing w:before="240" w:beforeAutospacing="0" w:after="64" w:afterAutospacing="0" w:line="317" w:lineRule="auto"/>
      <w:outlineLvl w:val="6"/>
    </w:pPr>
    <w:rPr>
      <w:b/>
      <w:sz w:val="24"/>
    </w:rPr>
  </w:style>
  <w:style w:type="paragraph" w:styleId="980" w:customStyle="1">
    <w:name w:val="标题 81"/>
    <w:basedOn w:val="779"/>
    <w:next w:val="779"/>
    <w:uiPriority w:val="0"/>
    <w:qFormat/>
    <w:pPr>
      <w:numPr>
        <w:ilvl w:val="7"/>
        <w:numId w:val="1"/>
      </w:numPr>
      <w:ind w:firstLine="402"/>
      <w:keepLines/>
      <w:keepNext/>
      <w:spacing w:before="240" w:beforeAutospacing="0" w:after="64" w:afterAutospacing="0" w:line="317" w:lineRule="auto"/>
      <w:outlineLvl w:val="7"/>
    </w:pPr>
    <w:rPr>
      <w:rFonts w:ascii="Arial" w:hAnsi="Arial" w:eastAsia="黑体"/>
      <w:sz w:val="24"/>
    </w:rPr>
  </w:style>
  <w:style w:type="paragraph" w:styleId="981" w:customStyle="1">
    <w:name w:val="标题 91"/>
    <w:basedOn w:val="779"/>
    <w:next w:val="779"/>
    <w:uiPriority w:val="0"/>
    <w:qFormat/>
    <w:pPr>
      <w:numPr>
        <w:ilvl w:val="8"/>
        <w:numId w:val="1"/>
      </w:numPr>
      <w:ind w:firstLine="402"/>
      <w:keepLines/>
      <w:keepNext/>
      <w:spacing w:before="240" w:beforeAutospacing="0" w:after="64" w:afterAutospacing="0" w:line="317" w:lineRule="auto"/>
      <w:outlineLvl w:val="8"/>
    </w:pPr>
    <w:rPr>
      <w:rFonts w:ascii="Arial" w:hAnsi="Arial" w:eastAsia="黑体"/>
      <w:sz w:val="21"/>
    </w:rPr>
  </w:style>
  <w:style w:type="character" w:styleId="982" w:customStyle="1">
    <w:name w:val="默认段落字体1"/>
    <w:link w:val="779"/>
    <w:uiPriority w:val="0"/>
    <w:qFormat/>
  </w:style>
  <w:style w:type="table" w:styleId="983" w:customStyle="1">
    <w:name w:val="普通表格1"/>
    <w:uiPriority w:val="0"/>
    <w:semiHidden/>
    <w:qFormat/>
    <w:tblPr/>
  </w:style>
  <w:style w:type="character" w:styleId="984" w:customStyle="1">
    <w:name w:val="标题 2 字符"/>
    <w:link w:val="974"/>
    <w:uiPriority w:val="0"/>
    <w:qFormat/>
    <w:rPr>
      <w:rFonts w:ascii="Arial" w:hAnsi="Arial" w:eastAsia="黑体"/>
      <w:b/>
      <w:bCs/>
      <w:color w:val="000000"/>
      <w:spacing w:val="16"/>
      <w:sz w:val="28"/>
      <w:szCs w:val="32"/>
      <w:lang w:val="en-US" w:eastAsia="zh-CN" w:bidi="ar-SA"/>
    </w:rPr>
  </w:style>
  <w:style w:type="character" w:styleId="985" w:customStyle="1">
    <w:name w:val="标题 3 字符"/>
    <w:link w:val="975"/>
    <w:uiPriority w:val="0"/>
    <w:qFormat/>
    <w:rPr>
      <w:rFonts w:ascii="宋体"/>
      <w:b/>
      <w:bCs/>
      <w:color w:val="000000"/>
      <w:spacing w:val="40"/>
      <w:sz w:val="24"/>
      <w:szCs w:val="32"/>
      <w:lang w:val="en-US" w:eastAsia="zh-CN" w:bidi="ar-SA"/>
    </w:rPr>
  </w:style>
  <w:style w:type="paragraph" w:styleId="986" w:customStyle="1">
    <w:name w:val="正文缩进1"/>
    <w:basedOn w:val="779"/>
    <w:link w:val="987"/>
    <w:uiPriority w:val="0"/>
    <w:qFormat/>
    <w:pPr>
      <w:ind w:firstLine="420"/>
      <w:jc w:val="left"/>
    </w:pPr>
    <w:rPr>
      <w:rFonts w:eastAsia="楷体_GB2312"/>
      <w:sz w:val="24"/>
      <w:szCs w:val="20"/>
    </w:rPr>
  </w:style>
  <w:style w:type="character" w:styleId="987" w:customStyle="1">
    <w:name w:val="正文缩进 字符"/>
    <w:link w:val="986"/>
    <w:uiPriority w:val="0"/>
    <w:qFormat/>
    <w:rPr>
      <w:rFonts w:eastAsia="楷体_GB2312"/>
      <w:sz w:val="24"/>
    </w:rPr>
  </w:style>
  <w:style w:type="paragraph" w:styleId="988" w:customStyle="1">
    <w:name w:val="文档结构图1"/>
    <w:basedOn w:val="779"/>
    <w:uiPriority w:val="0"/>
    <w:qFormat/>
    <w:rPr>
      <w:rFonts w:ascii="宋体"/>
      <w:sz w:val="18"/>
      <w:szCs w:val="18"/>
    </w:rPr>
  </w:style>
  <w:style w:type="paragraph" w:styleId="989" w:customStyle="1">
    <w:name w:val="批注文字1"/>
    <w:basedOn w:val="779"/>
    <w:link w:val="990"/>
    <w:uiPriority w:val="0"/>
    <w:qFormat/>
    <w:pPr>
      <w:jc w:val="left"/>
    </w:pPr>
  </w:style>
  <w:style w:type="character" w:styleId="990" w:customStyle="1">
    <w:name w:val="批注文字 字符"/>
    <w:link w:val="989"/>
    <w:uiPriority w:val="0"/>
    <w:qFormat/>
    <w:rPr>
      <w:sz w:val="21"/>
      <w:szCs w:val="24"/>
    </w:rPr>
  </w:style>
  <w:style w:type="paragraph" w:styleId="991" w:customStyle="1">
    <w:name w:val="正文文本 31"/>
    <w:basedOn w:val="779"/>
    <w:uiPriority w:val="0"/>
    <w:qFormat/>
    <w:rPr>
      <w:color w:val="0000ff"/>
    </w:rPr>
  </w:style>
  <w:style w:type="paragraph" w:styleId="992" w:customStyle="1">
    <w:name w:val="正文文本1"/>
    <w:basedOn w:val="779"/>
    <w:link w:val="993"/>
    <w:uiPriority w:val="0"/>
    <w:qFormat/>
    <w:rPr>
      <w:sz w:val="24"/>
    </w:rPr>
  </w:style>
  <w:style w:type="character" w:styleId="993" w:customStyle="1">
    <w:name w:val="正文文本 字符"/>
    <w:link w:val="992"/>
    <w:uiPriority w:val="0"/>
    <w:qFormat/>
    <w:rPr>
      <w:sz w:val="24"/>
      <w:szCs w:val="24"/>
    </w:rPr>
  </w:style>
  <w:style w:type="paragraph" w:styleId="994" w:customStyle="1">
    <w:name w:val="文本块1"/>
    <w:basedOn w:val="779"/>
    <w:uiPriority w:val="0"/>
    <w:qFormat/>
    <w:pPr>
      <w:ind w:left="630" w:right="-609" w:firstLine="420"/>
      <w:spacing w:line="360" w:lineRule="auto"/>
    </w:pPr>
    <w:rPr>
      <w:rFonts w:hint="eastAsia" w:ascii="仿宋_GB2312" w:eastAsia="仿宋_GB2312"/>
      <w:szCs w:val="20"/>
    </w:rPr>
  </w:style>
  <w:style w:type="paragraph" w:styleId="995" w:customStyle="1">
    <w:name w:val="纯文本11"/>
    <w:basedOn w:val="779"/>
    <w:link w:val="996"/>
    <w:uiPriority w:val="0"/>
    <w:qFormat/>
    <w:rPr>
      <w:rFonts w:ascii="宋体" w:hAnsi="Courier New" w:eastAsia="楷体_GB2312"/>
      <w:sz w:val="26"/>
      <w:szCs w:val="20"/>
    </w:rPr>
  </w:style>
  <w:style w:type="character" w:styleId="996" w:customStyle="1">
    <w:name w:val="纯文本 字符"/>
    <w:link w:val="995"/>
    <w:uiPriority w:val="0"/>
    <w:qFormat/>
    <w:rPr>
      <w:rFonts w:ascii="宋体" w:hAnsi="Courier New" w:eastAsia="楷体_GB2312"/>
      <w:sz w:val="26"/>
    </w:rPr>
  </w:style>
  <w:style w:type="paragraph" w:styleId="997" w:customStyle="1">
    <w:name w:val="列表项目符号 51"/>
    <w:basedOn w:val="779"/>
    <w:uiPriority w:val="0"/>
    <w:qFormat/>
    <w:pPr>
      <w:numPr>
        <w:ilvl w:val="0"/>
        <w:numId w:val="2"/>
      </w:numPr>
    </w:pPr>
  </w:style>
  <w:style w:type="paragraph" w:styleId="998" w:customStyle="1">
    <w:name w:val="日期1"/>
    <w:basedOn w:val="779"/>
    <w:next w:val="779"/>
    <w:link w:val="999"/>
    <w:uiPriority w:val="0"/>
    <w:qFormat/>
    <w:rPr>
      <w:rFonts w:ascii="宋体" w:hAnsi="宋体" w:eastAsia="楷体_GB2312"/>
      <w:sz w:val="24"/>
      <w:szCs w:val="20"/>
    </w:rPr>
  </w:style>
  <w:style w:type="character" w:styleId="999" w:customStyle="1">
    <w:name w:val="日期 字符"/>
    <w:link w:val="998"/>
    <w:uiPriority w:val="0"/>
    <w:qFormat/>
    <w:rPr>
      <w:rFonts w:ascii="宋体" w:hAnsi="宋体" w:eastAsia="楷体_GB2312"/>
      <w:sz w:val="24"/>
    </w:rPr>
  </w:style>
  <w:style w:type="paragraph" w:styleId="1000" w:customStyle="1">
    <w:name w:val="正文文本缩进 21"/>
    <w:basedOn w:val="779"/>
    <w:uiPriority w:val="0"/>
    <w:qFormat/>
    <w:pPr>
      <w:ind w:firstLine="540"/>
      <w:spacing w:line="360" w:lineRule="auto"/>
    </w:pPr>
    <w:rPr>
      <w:rFonts w:ascii="宋体" w:hAnsi="宋体"/>
      <w:sz w:val="24"/>
    </w:rPr>
  </w:style>
  <w:style w:type="paragraph" w:styleId="1001" w:customStyle="1">
    <w:name w:val="批注框文本1"/>
    <w:basedOn w:val="779"/>
    <w:link w:val="1002"/>
    <w:uiPriority w:val="0"/>
    <w:qFormat/>
    <w:rPr>
      <w:sz w:val="18"/>
      <w:szCs w:val="18"/>
    </w:rPr>
  </w:style>
  <w:style w:type="character" w:styleId="1002" w:customStyle="1">
    <w:name w:val="批注框文本 字符"/>
    <w:link w:val="1001"/>
    <w:uiPriority w:val="0"/>
    <w:qFormat/>
    <w:rPr>
      <w:sz w:val="18"/>
      <w:szCs w:val="18"/>
    </w:rPr>
  </w:style>
  <w:style w:type="paragraph" w:styleId="1003" w:customStyle="1">
    <w:name w:val="页脚1"/>
    <w:basedOn w:val="779"/>
    <w:link w:val="1004"/>
    <w:uiPriority w:val="99"/>
    <w:qFormat/>
    <w:pPr>
      <w:jc w:val="left"/>
      <w:tabs>
        <w:tab w:val="center" w:pos="4153" w:leader="none"/>
        <w:tab w:val="right" w:pos="8306" w:leader="none"/>
      </w:tabs>
    </w:pPr>
    <w:rPr>
      <w:rFonts w:eastAsia="楷体_GB2312"/>
      <w:sz w:val="18"/>
      <w:szCs w:val="20"/>
    </w:rPr>
  </w:style>
  <w:style w:type="character" w:styleId="1004" w:customStyle="1">
    <w:name w:val="页脚 字符"/>
    <w:link w:val="1003"/>
    <w:uiPriority w:val="99"/>
    <w:qFormat/>
    <w:rPr>
      <w:rFonts w:eastAsia="楷体_GB2312"/>
      <w:sz w:val="18"/>
    </w:rPr>
  </w:style>
  <w:style w:type="paragraph" w:styleId="1005" w:customStyle="1">
    <w:name w:val="寄信人地址1"/>
    <w:basedOn w:val="779"/>
    <w:uiPriority w:val="0"/>
    <w:qFormat/>
    <w:pPr>
      <w:jc w:val="both"/>
      <w:widowControl w:val="off"/>
    </w:pPr>
    <w:rPr>
      <w:rFonts w:ascii="Arial" w:hAnsi="Arial" w:eastAsia="宋体" w:cs="Times New Roman"/>
      <w:sz w:val="21"/>
      <w:szCs w:val="24"/>
      <w:lang w:val="en-US" w:eastAsia="zh-CN" w:bidi="ar-SA"/>
    </w:rPr>
  </w:style>
  <w:style w:type="paragraph" w:styleId="1006" w:customStyle="1">
    <w:name w:val="页眉1"/>
    <w:basedOn w:val="779"/>
    <w:link w:val="1007"/>
    <w:uiPriority w:val="0"/>
    <w:qFormat/>
    <w:pPr>
      <w:jc w:val="center"/>
      <w:tabs>
        <w:tab w:val="center" w:pos="4153" w:leader="none"/>
        <w:tab w:val="right" w:pos="8306" w:leader="none"/>
      </w:tabs>
      <w:pBdr>
        <w:bottom w:val="single" w:color="000000" w:sz="6" w:space="1"/>
      </w:pBdr>
    </w:pPr>
    <w:rPr>
      <w:rFonts w:eastAsia="楷体_GB2312"/>
      <w:sz w:val="18"/>
      <w:szCs w:val="20"/>
    </w:rPr>
  </w:style>
  <w:style w:type="character" w:styleId="1007" w:customStyle="1">
    <w:name w:val="页眉 字符"/>
    <w:link w:val="1006"/>
    <w:uiPriority w:val="0"/>
    <w:qFormat/>
    <w:rPr>
      <w:rFonts w:eastAsia="楷体_GB2312"/>
      <w:sz w:val="18"/>
    </w:rPr>
  </w:style>
  <w:style w:type="paragraph" w:styleId="1008" w:customStyle="1">
    <w:name w:val="目录 11"/>
    <w:basedOn w:val="779"/>
    <w:next w:val="779"/>
    <w:uiPriority w:val="0"/>
    <w:qFormat/>
    <w:pPr>
      <w:jc w:val="left"/>
      <w:spacing w:line="360" w:lineRule="auto"/>
      <w:tabs>
        <w:tab w:val="right" w:pos="8302" w:leader="dot"/>
      </w:tabs>
    </w:pPr>
    <w:rPr>
      <w:rFonts w:ascii="宋体" w:hAnsi="宋体"/>
      <w:sz w:val="18"/>
      <w:szCs w:val="21"/>
    </w:rPr>
  </w:style>
  <w:style w:type="paragraph" w:styleId="1009" w:customStyle="1">
    <w:name w:val="目录 41"/>
    <w:basedOn w:val="779"/>
    <w:next w:val="779"/>
    <w:uiPriority w:val="0"/>
    <w:qFormat/>
    <w:pPr>
      <w:ind w:left="630"/>
      <w:jc w:val="left"/>
    </w:pPr>
    <w:rPr>
      <w:szCs w:val="21"/>
    </w:rPr>
  </w:style>
  <w:style w:type="paragraph" w:styleId="1010" w:customStyle="1">
    <w:name w:val="正文文本缩进 31"/>
    <w:basedOn w:val="779"/>
    <w:uiPriority w:val="0"/>
    <w:qFormat/>
    <w:pPr>
      <w:ind w:firstLine="570"/>
      <w:spacing w:line="520" w:lineRule="exact"/>
    </w:pPr>
    <w:rPr>
      <w:rFonts w:ascii="宋体" w:hAnsi="宋体"/>
      <w:bCs/>
      <w:sz w:val="24"/>
      <w:u w:val="single"/>
    </w:rPr>
  </w:style>
  <w:style w:type="paragraph" w:styleId="1011" w:customStyle="1">
    <w:name w:val="正文文本 21"/>
    <w:basedOn w:val="779"/>
    <w:uiPriority w:val="0"/>
    <w:qFormat/>
    <w:pPr>
      <w:spacing w:line="360" w:lineRule="auto"/>
    </w:pPr>
    <w:rPr>
      <w:color w:val="ff0000"/>
    </w:rPr>
  </w:style>
  <w:style w:type="paragraph" w:styleId="1012" w:customStyle="1">
    <w:name w:val="普通(网站)1"/>
    <w:basedOn w:val="779"/>
    <w:uiPriority w:val="99"/>
    <w:qFormat/>
    <w:pPr>
      <w:jc w:val="left"/>
      <w:spacing w:before="100" w:beforeAutospacing="1" w:after="100" w:afterAutospacing="1"/>
      <w:widowControl/>
    </w:pPr>
    <w:rPr>
      <w:rFonts w:ascii="Arial Unicode MS" w:hAnsi="Arial Unicode MS" w:eastAsia="Arial Unicode MS"/>
      <w:color w:val="000000"/>
      <w:sz w:val="24"/>
    </w:rPr>
  </w:style>
  <w:style w:type="paragraph" w:styleId="1013" w:customStyle="1">
    <w:name w:val="索引 11"/>
    <w:basedOn w:val="779"/>
    <w:next w:val="779"/>
    <w:uiPriority w:val="0"/>
    <w:qFormat/>
    <w:rPr>
      <w:rFonts w:ascii="宋体" w:hAnsi="宋体"/>
      <w:sz w:val="10"/>
    </w:rPr>
  </w:style>
  <w:style w:type="paragraph" w:styleId="1014" w:customStyle="1">
    <w:name w:val="标题1"/>
    <w:basedOn w:val="779"/>
    <w:next w:val="779"/>
    <w:link w:val="1015"/>
    <w:uiPriority w:val="0"/>
    <w:qFormat/>
    <w:pPr>
      <w:jc w:val="center"/>
      <w:spacing w:before="360" w:after="360" w:line="360" w:lineRule="auto"/>
      <w:outlineLvl w:val="0"/>
    </w:pPr>
    <w:rPr>
      <w:rFonts w:ascii="Arial" w:hAnsi="Arial" w:eastAsia="黑体"/>
      <w:sz w:val="36"/>
      <w:szCs w:val="20"/>
    </w:rPr>
  </w:style>
  <w:style w:type="character" w:styleId="1015" w:customStyle="1">
    <w:name w:val="标题 字符"/>
    <w:link w:val="1014"/>
    <w:uiPriority w:val="0"/>
    <w:qFormat/>
    <w:rPr>
      <w:rFonts w:ascii="Arial" w:hAnsi="Arial" w:eastAsia="黑体"/>
      <w:sz w:val="36"/>
    </w:rPr>
  </w:style>
  <w:style w:type="paragraph" w:styleId="1016" w:customStyle="1">
    <w:name w:val="批注主题1"/>
    <w:basedOn w:val="989"/>
    <w:next w:val="989"/>
    <w:link w:val="1017"/>
    <w:uiPriority w:val="0"/>
    <w:qFormat/>
    <w:rPr>
      <w:b/>
      <w:bCs/>
      <w:sz w:val="20"/>
      <w:szCs w:val="20"/>
    </w:rPr>
  </w:style>
  <w:style w:type="character" w:styleId="1017" w:customStyle="1">
    <w:name w:val="批注主题 字符"/>
    <w:link w:val="1016"/>
    <w:uiPriority w:val="0"/>
    <w:qFormat/>
    <w:rPr>
      <w:b/>
      <w:bCs/>
    </w:rPr>
  </w:style>
  <w:style w:type="paragraph" w:styleId="1018" w:customStyle="1">
    <w:name w:val="正文首行缩进1"/>
    <w:basedOn w:val="992"/>
    <w:uiPriority w:val="0"/>
    <w:qFormat/>
    <w:pPr>
      <w:ind w:firstLine="420"/>
      <w:jc w:val="left"/>
      <w:spacing w:after="120"/>
      <w:widowControl/>
    </w:pPr>
  </w:style>
  <w:style w:type="table" w:styleId="1019" w:customStyle="1">
    <w:name w:val="网格型11"/>
    <w:basedOn w:val="983"/>
    <w:uiPriority w:val="0"/>
    <w:qFormat/>
    <w:pPr>
      <w:jc w:val="both"/>
      <w:widowControl w:val="off"/>
    </w:pPr>
    <w:tblPr/>
  </w:style>
  <w:style w:type="character" w:styleId="1020" w:customStyle="1">
    <w:name w:val="页码1"/>
    <w:link w:val="779"/>
    <w:uiPriority w:val="0"/>
    <w:qFormat/>
  </w:style>
  <w:style w:type="character" w:styleId="1021" w:customStyle="1">
    <w:name w:val="已访问的超链接1"/>
    <w:link w:val="779"/>
    <w:uiPriority w:val="0"/>
    <w:qFormat/>
    <w:rPr>
      <w:color w:val="800080"/>
      <w:u w:val="none"/>
    </w:rPr>
  </w:style>
  <w:style w:type="character" w:styleId="1022" w:customStyle="1">
    <w:name w:val="超链接1"/>
    <w:link w:val="779"/>
    <w:uiPriority w:val="0"/>
    <w:qFormat/>
    <w:rPr>
      <w:color w:val="0000ff"/>
      <w:u w:val="none"/>
    </w:rPr>
  </w:style>
  <w:style w:type="character" w:styleId="1023" w:customStyle="1">
    <w:name w:val="批注引用1"/>
    <w:link w:val="779"/>
    <w:uiPriority w:val="0"/>
    <w:qFormat/>
    <w:rPr>
      <w:sz w:val="21"/>
      <w:szCs w:val="21"/>
    </w:rPr>
  </w:style>
  <w:style w:type="paragraph" w:styleId="1024" w:customStyle="1">
    <w:name w:val="段"/>
    <w:next w:val="779"/>
    <w:uiPriority w:val="0"/>
    <w:qFormat/>
    <w:pPr>
      <w:ind w:firstLine="200"/>
      <w:jc w:val="both"/>
    </w:pPr>
    <w:rPr>
      <w:rFonts w:hint="default" w:ascii="宋体" w:hAnsi="Times New Roman" w:eastAsia="宋体" w:cs="Times New Roman"/>
      <w:sz w:val="21"/>
      <w:lang w:val="en-US" w:eastAsia="zh-CN" w:bidi="ar-SA"/>
    </w:rPr>
  </w:style>
  <w:style w:type="character" w:styleId="1025" w:customStyle="1">
    <w:name w:val="grame"/>
    <w:link w:val="779"/>
    <w:uiPriority w:val="0"/>
    <w:qFormat/>
    <w:rPr>
      <w:sz w:val="21"/>
      <w:szCs w:val="21"/>
    </w:rPr>
  </w:style>
  <w:style w:type="character" w:styleId="1026" w:customStyle="1">
    <w:name w:val="font01"/>
    <w:link w:val="779"/>
    <w:uiPriority w:val="0"/>
    <w:qFormat/>
    <w:rPr>
      <w:rFonts w:hint="eastAsia" w:ascii="宋体" w:hAnsi="宋体" w:eastAsia="宋体" w:cs="宋体"/>
      <w:color w:val="ff0000"/>
      <w:sz w:val="22"/>
      <w:szCs w:val="22"/>
      <w:u w:val="none"/>
    </w:rPr>
  </w:style>
  <w:style w:type="character" w:styleId="1027" w:customStyle="1">
    <w:name w:val="列表段落 字符"/>
    <w:link w:val="1028"/>
    <w:uiPriority w:val="34"/>
    <w:qFormat/>
    <w:rPr>
      <w:rFonts w:ascii="Calibri" w:hAnsi="Calibri"/>
      <w:sz w:val="21"/>
      <w:szCs w:val="22"/>
    </w:rPr>
  </w:style>
  <w:style w:type="paragraph" w:styleId="1028" w:customStyle="1">
    <w:name w:val="列表段落"/>
    <w:basedOn w:val="779"/>
    <w:link w:val="1027"/>
    <w:uiPriority w:val="34"/>
    <w:qFormat/>
    <w:pPr>
      <w:ind w:firstLine="420"/>
    </w:pPr>
    <w:rPr>
      <w:rFonts w:ascii="Calibri" w:hAnsi="Calibri"/>
      <w:szCs w:val="22"/>
    </w:rPr>
  </w:style>
  <w:style w:type="character" w:styleId="1029" w:customStyle="1">
    <w:name w:val="font21"/>
    <w:link w:val="779"/>
    <w:uiPriority w:val="0"/>
    <w:qFormat/>
    <w:rPr>
      <w:rFonts w:hint="eastAsia" w:ascii="仿宋_GB2312" w:eastAsia="仿宋_GB2312" w:cs="仿宋_GB2312"/>
      <w:color w:val="000000"/>
      <w:sz w:val="22"/>
      <w:szCs w:val="22"/>
      <w:u w:val="none"/>
    </w:rPr>
  </w:style>
  <w:style w:type="character" w:styleId="1030" w:customStyle="1">
    <w:name w:val="Andy_正文 Char"/>
    <w:link w:val="1031"/>
    <w:uiPriority w:val="0"/>
    <w:qFormat/>
    <w:rPr>
      <w:rFonts w:ascii="Calibri" w:hAnsi="Calibri"/>
      <w:sz w:val="24"/>
      <w:szCs w:val="24"/>
    </w:rPr>
  </w:style>
  <w:style w:type="paragraph" w:styleId="1031" w:customStyle="1">
    <w:name w:val="Andy_正文"/>
    <w:basedOn w:val="779"/>
    <w:link w:val="1030"/>
    <w:uiPriority w:val="0"/>
    <w:qFormat/>
    <w:pPr>
      <w:ind w:firstLine="480"/>
      <w:spacing w:line="360" w:lineRule="auto"/>
    </w:pPr>
    <w:rPr>
      <w:rFonts w:ascii="Calibri" w:hAnsi="Calibri"/>
      <w:sz w:val="24"/>
    </w:rPr>
  </w:style>
  <w:style w:type="character" w:styleId="1032" w:customStyle="1">
    <w:name w:val="dash6b63_6587__char1"/>
    <w:link w:val="779"/>
    <w:uiPriority w:val="0"/>
    <w:qFormat/>
    <w:rPr>
      <w:rFonts w:ascii="Times New Roman" w:hAnsi="Times New Roman" w:cs="Times New Roman"/>
      <w:sz w:val="20"/>
      <w:szCs w:val="20"/>
      <w:u w:val="none"/>
    </w:rPr>
  </w:style>
  <w:style w:type="character" w:styleId="1033" w:customStyle="1">
    <w:name w:val="Plain Text Char Char"/>
    <w:link w:val="800"/>
    <w:uiPriority w:val="0"/>
    <w:qFormat/>
    <w:rPr>
      <w:rFonts w:ascii="宋体" w:hAnsi="Courier New" w:eastAsia="楷体_GB2312"/>
      <w:sz w:val="26"/>
    </w:rPr>
  </w:style>
  <w:style w:type="character" w:styleId="1034" w:customStyle="1">
    <w:name w:val=" Char Char1"/>
    <w:link w:val="779"/>
    <w:uiPriority w:val="0"/>
    <w:qFormat/>
    <w:rPr>
      <w:rFonts w:ascii="宋体"/>
      <w:sz w:val="18"/>
      <w:szCs w:val="18"/>
    </w:rPr>
  </w:style>
  <w:style w:type="character" w:styleId="1035" w:customStyle="1">
    <w:name w:val="normal__char1"/>
    <w:link w:val="779"/>
    <w:uiPriority w:val="0"/>
    <w:qFormat/>
    <w:rPr>
      <w:rFonts w:ascii="Calibri" w:hAnsi="Calibri"/>
      <w:sz w:val="20"/>
      <w:szCs w:val="20"/>
    </w:rPr>
  </w:style>
  <w:style w:type="character" w:styleId="1036" w:customStyle="1">
    <w:name w:val="style14"/>
    <w:link w:val="779"/>
    <w:uiPriority w:val="0"/>
    <w:qFormat/>
  </w:style>
  <w:style w:type="character" w:styleId="1037" w:customStyle="1">
    <w:name w:val="font41"/>
    <w:basedOn w:val="789"/>
    <w:link w:val="779"/>
    <w:uiPriority w:val="0"/>
    <w:qFormat/>
    <w:rPr>
      <w:rFonts w:hint="eastAsia" w:ascii="宋体" w:hAnsi="宋体" w:eastAsia="宋体" w:cs="宋体"/>
      <w:color w:val="000000"/>
      <w:sz w:val="21"/>
      <w:szCs w:val="21"/>
      <w:u w:val="none"/>
    </w:rPr>
  </w:style>
  <w:style w:type="character" w:styleId="1038" w:customStyle="1">
    <w:name w:val="+正文 Char3"/>
    <w:link w:val="1039"/>
    <w:uiPriority w:val="0"/>
    <w:qFormat/>
    <w:rPr>
      <w:sz w:val="24"/>
      <w:szCs w:val="28"/>
    </w:rPr>
  </w:style>
  <w:style w:type="paragraph" w:styleId="1039" w:customStyle="1">
    <w:name w:val="+正文"/>
    <w:basedOn w:val="779"/>
    <w:link w:val="1038"/>
    <w:uiPriority w:val="0"/>
    <w:qFormat/>
    <w:pPr>
      <w:ind w:firstLine="200"/>
      <w:spacing w:line="360" w:lineRule="auto"/>
    </w:pPr>
    <w:rPr>
      <w:sz w:val="24"/>
      <w:szCs w:val="28"/>
    </w:rPr>
  </w:style>
  <w:style w:type="character" w:styleId="1040" w:customStyle="1">
    <w:name w:val="ALT+Z Char1"/>
    <w:link w:val="779"/>
    <w:uiPriority w:val="0"/>
    <w:qFormat/>
    <w:rPr>
      <w:rFonts w:eastAsia="宋体"/>
      <w:sz w:val="24"/>
      <w:szCs w:val="24"/>
      <w:lang w:val="en-US" w:eastAsia="zh-CN" w:bidi="ar-SA"/>
    </w:rPr>
  </w:style>
  <w:style w:type="character" w:styleId="1041" w:customStyle="1">
    <w:name w:val="NormalCharacter1"/>
    <w:link w:val="779"/>
    <w:uiPriority w:val="0"/>
    <w:semiHidden/>
    <w:qFormat/>
  </w:style>
  <w:style w:type="character" w:styleId="1042" w:customStyle="1">
    <w:name w:val="font11"/>
    <w:basedOn w:val="789"/>
    <w:link w:val="779"/>
    <w:uiPriority w:val="0"/>
    <w:qFormat/>
    <w:rPr>
      <w:rFonts w:hint="eastAsia" w:ascii="仿宋_GB2312" w:eastAsia="仿宋_GB2312" w:cs="仿宋_GB2312"/>
      <w:color w:val="000000"/>
      <w:sz w:val="22"/>
      <w:szCs w:val="22"/>
      <w:u w:val="none"/>
    </w:rPr>
  </w:style>
  <w:style w:type="paragraph" w:styleId="1043" w:customStyle="1">
    <w:name w:val="三级条标题"/>
    <w:basedOn w:val="1044"/>
    <w:next w:val="1024"/>
    <w:uiPriority w:val="0"/>
    <w:qFormat/>
    <w:pPr>
      <w:tabs>
        <w:tab w:val="left" w:pos="0" w:leader="none"/>
      </w:tabs>
      <w:outlineLvl w:val="4"/>
    </w:pPr>
  </w:style>
  <w:style w:type="paragraph" w:styleId="1044" w:customStyle="1">
    <w:name w:val="二级条标题"/>
    <w:basedOn w:val="1045"/>
    <w:next w:val="1024"/>
    <w:uiPriority w:val="0"/>
    <w:qFormat/>
    <w:pPr>
      <w:tabs>
        <w:tab w:val="left" w:pos="0" w:leader="none"/>
      </w:tabs>
      <w:outlineLvl w:val="3"/>
    </w:pPr>
  </w:style>
  <w:style w:type="paragraph" w:styleId="1045" w:customStyle="1">
    <w:name w:val="一级条标题"/>
    <w:basedOn w:val="973"/>
    <w:next w:val="1024"/>
    <w:uiPriority w:val="0"/>
    <w:qFormat/>
    <w:pPr>
      <w:ind w:left="840"/>
      <w:keepLines w:val="0"/>
      <w:keepNext w:val="0"/>
      <w:spacing w:before="0" w:after="0" w:line="240" w:lineRule="auto"/>
      <w:widowControl/>
      <w:outlineLvl w:val="2"/>
    </w:pPr>
    <w:rPr>
      <w:rFonts w:eastAsia="黑体"/>
      <w:b w:val="0"/>
      <w:sz w:val="21"/>
      <w:szCs w:val="21"/>
    </w:rPr>
  </w:style>
  <w:style w:type="paragraph" w:styleId="1046" w:customStyle="1">
    <w:name w:val="xl32"/>
    <w:basedOn w:val="77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Verdana" w:hAnsi="Verdana"/>
      <w:sz w:val="20"/>
      <w:szCs w:val="20"/>
    </w:rPr>
  </w:style>
  <w:style w:type="paragraph" w:styleId="1047" w:customStyle="1">
    <w:name w:val="xl42"/>
    <w:basedOn w:val="779"/>
    <w:uiPriority w:val="0"/>
    <w:qFormat/>
    <w:pPr>
      <w:jc w:val="left"/>
      <w:spacing w:before="100" w:beforeAutospacing="1" w:after="100" w:afterAutospacing="1"/>
      <w:shd w:val="clear" w:color="auto" w:fill="00ffff"/>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048" w:customStyle="1">
    <w:name w:val="四级条标题"/>
    <w:basedOn w:val="1043"/>
    <w:next w:val="1024"/>
    <w:uiPriority w:val="0"/>
    <w:qFormat/>
    <w:pPr>
      <w:outlineLvl w:val="5"/>
    </w:pPr>
  </w:style>
  <w:style w:type="paragraph" w:styleId="1049" w:customStyle="1">
    <w:name w:val="纯文本12"/>
    <w:basedOn w:val="779"/>
    <w:uiPriority w:val="99"/>
    <w:qFormat/>
    <w:rPr>
      <w:rFonts w:ascii="宋体" w:hAnsi="Courier New" w:eastAsia="楷体_GB2312"/>
      <w:sz w:val="28"/>
      <w:szCs w:val="24"/>
    </w:rPr>
  </w:style>
  <w:style w:type="paragraph" w:styleId="1050" w:customStyle="1">
    <w:name w:val="纯文本2"/>
    <w:basedOn w:val="779"/>
    <w:uiPriority w:val="0"/>
    <w:qFormat/>
    <w:pPr>
      <w:jc w:val="left"/>
      <w:widowControl/>
    </w:pPr>
    <w:rPr>
      <w:rFonts w:ascii="宋体" w:hAnsi="Courier New" w:eastAsia="楷体_GB2312"/>
      <w:sz w:val="26"/>
      <w:szCs w:val="20"/>
    </w:rPr>
  </w:style>
  <w:style w:type="paragraph" w:styleId="1051" w:customStyle="1">
    <w:name w:val="xl25"/>
    <w:basedOn w:val="779"/>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sz w:val="20"/>
      <w:szCs w:val="20"/>
    </w:rPr>
  </w:style>
  <w:style w:type="paragraph" w:styleId="1052" w:customStyle="1">
    <w:name w:val="+列表1"/>
    <w:basedOn w:val="779"/>
    <w:uiPriority w:val="0"/>
    <w:qFormat/>
    <w:pPr>
      <w:jc w:val="center"/>
    </w:pPr>
    <w:rPr>
      <w:sz w:val="24"/>
    </w:rPr>
  </w:style>
  <w:style w:type="paragraph" w:styleId="1053" w:customStyle="1">
    <w:name w:val="xl44"/>
    <w:basedOn w:val="779"/>
    <w:uiPriority w:val="0"/>
    <w:qFormat/>
    <w:pPr>
      <w:jc w:val="center"/>
      <w:spacing w:before="100" w:beforeAutospacing="1" w:after="100" w:afterAutospacing="1"/>
      <w:widowControl/>
      <w:pBdr>
        <w:left w:val="single" w:color="000000" w:sz="6" w:space="0"/>
      </w:pBdr>
    </w:pPr>
    <w:rPr>
      <w:rFonts w:ascii="Arial Unicode MS" w:hAnsi="Arial Unicode MS" w:eastAsia="Arial Unicode MS"/>
      <w:sz w:val="24"/>
    </w:rPr>
  </w:style>
  <w:style w:type="paragraph" w:styleId="1054" w:customStyle="1">
    <w:name w:val="Char2 Char Char Char"/>
    <w:basedOn w:val="779"/>
    <w:uiPriority w:val="0"/>
    <w:qFormat/>
    <w:pPr>
      <w:jc w:val="left"/>
      <w:spacing w:after="160" w:line="240" w:lineRule="exact"/>
      <w:widowControl/>
    </w:pPr>
    <w:rPr>
      <w:rFonts w:ascii="Verdana" w:hAnsi="Verdana"/>
      <w:sz w:val="20"/>
      <w:szCs w:val="20"/>
      <w:lang w:eastAsia="en-US"/>
    </w:rPr>
  </w:style>
  <w:style w:type="paragraph" w:styleId="1055" w:customStyle="1">
    <w:name w:val="Char"/>
    <w:basedOn w:val="779"/>
    <w:uiPriority w:val="0"/>
    <w:qFormat/>
    <w:rPr>
      <w:rFonts w:ascii="仿宋_GB2312" w:eastAsia="仿宋_GB2312"/>
      <w:b/>
      <w:sz w:val="32"/>
      <w:szCs w:val="32"/>
    </w:rPr>
  </w:style>
  <w:style w:type="paragraph" w:styleId="1056" w:customStyle="1">
    <w:name w:val="dash6b63_6587"/>
    <w:basedOn w:val="779"/>
    <w:uiPriority w:val="0"/>
    <w:qFormat/>
    <w:pPr>
      <w:widowControl/>
    </w:pPr>
    <w:rPr>
      <w:sz w:val="20"/>
      <w:szCs w:val="20"/>
    </w:rPr>
  </w:style>
  <w:style w:type="paragraph" w:styleId="1057" w:customStyle="1">
    <w:name w:val="xl43"/>
    <w:basedOn w:val="779"/>
    <w:uiPriority w:val="0"/>
    <w:qFormat/>
    <w:pPr>
      <w:jc w:val="left"/>
      <w:spacing w:before="100" w:beforeAutospacing="1" w:after="100" w:afterAutospacing="1"/>
      <w:shd w:val="clear" w:color="auto" w:fill="00ffff"/>
      <w:widowControl/>
      <w:pBdr>
        <w:top w:val="single" w:color="000000" w:sz="4" w:space="0"/>
        <w:left w:val="single" w:color="000000" w:sz="4" w:space="0"/>
        <w:bottom w:val="single" w:color="000000" w:sz="4" w:space="0"/>
        <w:right w:val="single" w:color="000000" w:sz="8" w:space="0"/>
      </w:pBdr>
    </w:pPr>
    <w:rPr>
      <w:rFonts w:ascii="宋体" w:hAnsi="宋体"/>
      <w:sz w:val="20"/>
      <w:szCs w:val="20"/>
    </w:rPr>
  </w:style>
  <w:style w:type="paragraph" w:styleId="1058" w:customStyle="1">
    <w:name w:val="_Style 30"/>
    <w:basedOn w:val="779"/>
    <w:next w:val="995"/>
    <w:uiPriority w:val="0"/>
    <w:qFormat/>
    <w:rPr>
      <w:rFonts w:ascii="宋体" w:hAnsi="Courier New"/>
    </w:rPr>
  </w:style>
  <w:style w:type="paragraph" w:styleId="1059" w:customStyle="1">
    <w:name w:val="_正文段落"/>
    <w:basedOn w:val="779"/>
    <w:uiPriority w:val="0"/>
    <w:qFormat/>
    <w:pPr>
      <w:ind w:firstLine="480"/>
      <w:spacing w:line="360" w:lineRule="auto"/>
    </w:pPr>
    <w:rPr>
      <w:rFonts w:ascii="宋体" w:hAnsi="宋体"/>
      <w:sz w:val="24"/>
    </w:rPr>
  </w:style>
  <w:style w:type="paragraph" w:styleId="1060" w:customStyle="1">
    <w:name w:val="xl24"/>
    <w:basedOn w:val="779"/>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sz w:val="20"/>
      <w:szCs w:val="20"/>
    </w:rPr>
  </w:style>
  <w:style w:type="paragraph" w:styleId="1061" w:customStyle="1">
    <w:name w:val="xl37"/>
    <w:basedOn w:val="779"/>
    <w:uiPriority w:val="0"/>
    <w:qFormat/>
    <w:pPr>
      <w:jc w:val="left"/>
      <w:spacing w:before="100" w:beforeAutospacing="1" w:after="100" w:afterAutospacing="1"/>
      <w:widowControl/>
      <w:pBdr>
        <w:top w:val="single" w:color="000000" w:sz="4" w:space="0"/>
        <w:bottom w:val="single" w:color="000000" w:sz="8" w:space="0"/>
      </w:pBdr>
    </w:pPr>
    <w:rPr>
      <w:rFonts w:ascii="宋体" w:hAnsi="宋体"/>
      <w:sz w:val="20"/>
      <w:szCs w:val="20"/>
    </w:rPr>
  </w:style>
  <w:style w:type="paragraph" w:styleId="1062" w:customStyle="1">
    <w:name w:val="font5"/>
    <w:basedOn w:val="779"/>
    <w:uiPriority w:val="0"/>
    <w:qFormat/>
    <w:pPr>
      <w:jc w:val="left"/>
      <w:spacing w:before="100" w:beforeAutospacing="1" w:after="100" w:afterAutospacing="1"/>
      <w:widowControl/>
    </w:pPr>
    <w:rPr>
      <w:rFonts w:hint="eastAsia" w:ascii="宋体" w:hAnsi="宋体"/>
      <w:sz w:val="18"/>
      <w:szCs w:val="18"/>
    </w:rPr>
  </w:style>
  <w:style w:type="paragraph" w:styleId="1063" w:customStyle="1">
    <w:name w:val="段 Char"/>
    <w:uiPriority w:val="0"/>
    <w:qFormat/>
    <w:pPr>
      <w:ind w:firstLine="200"/>
      <w:jc w:val="both"/>
    </w:pPr>
    <w:rPr>
      <w:rFonts w:hint="default" w:ascii="宋体" w:hAnsi="Times New Roman" w:eastAsia="宋体" w:cs="Times New Roman"/>
      <w:sz w:val="21"/>
      <w:lang w:val="en-US" w:eastAsia="zh-CN" w:bidi="ar-SA"/>
    </w:rPr>
  </w:style>
  <w:style w:type="paragraph" w:styleId="1064" w:customStyle="1">
    <w:name w:val=" Char Char Char Char"/>
    <w:basedOn w:val="779"/>
    <w:uiPriority w:val="0"/>
    <w:qFormat/>
    <w:pPr>
      <w:jc w:val="left"/>
      <w:spacing w:after="160" w:line="240" w:lineRule="exact"/>
      <w:widowControl/>
    </w:pPr>
    <w:rPr>
      <w:rFonts w:ascii="Verdana" w:hAnsi="Verdana" w:eastAsia="仿宋_GB2312"/>
      <w:sz w:val="24"/>
      <w:szCs w:val="20"/>
      <w:lang w:eastAsia="en-US"/>
    </w:rPr>
  </w:style>
  <w:style w:type="paragraph" w:styleId="1065" w:customStyle="1">
    <w:name w:val="Normal_19"/>
    <w:uiPriority w:val="0"/>
    <w:qFormat/>
    <w:pPr>
      <w:jc w:val="both"/>
      <w:widowControl w:val="off"/>
    </w:pPr>
    <w:rPr>
      <w:rFonts w:hint="default" w:ascii="Times New Roman" w:hAnsi="Times New Roman" w:eastAsia="Times New Roman" w:cs="Times New Roman"/>
      <w:sz w:val="21"/>
      <w:szCs w:val="22"/>
      <w:lang w:val="en-US" w:eastAsia="zh-CN" w:bidi="ar-SA"/>
    </w:rPr>
  </w:style>
  <w:style w:type="paragraph" w:styleId="1066" w:customStyle="1">
    <w:name w:val="样式3"/>
    <w:basedOn w:val="779"/>
    <w:next w:val="779"/>
    <w:uiPriority w:val="0"/>
    <w:qFormat/>
    <w:pPr>
      <w:spacing w:line="360" w:lineRule="auto"/>
    </w:pPr>
    <w:rPr>
      <w:szCs w:val="21"/>
    </w:rPr>
  </w:style>
  <w:style w:type="paragraph" w:styleId="1067" w:customStyle="1">
    <w:name w:val="Table Paragraph_0_0"/>
    <w:basedOn w:val="1065"/>
    <w:uiPriority w:val="1"/>
    <w:qFormat/>
    <w:pPr>
      <w:jc w:val="left"/>
    </w:pPr>
    <w:rPr>
      <w:rFonts w:ascii="微软雅黑" w:hAnsi="微软雅黑" w:eastAsia="微软雅黑" w:cs="微软雅黑"/>
      <w:sz w:val="22"/>
      <w:lang w:eastAsia="en-US"/>
    </w:rPr>
  </w:style>
  <w:style w:type="paragraph" w:styleId="1068" w:customStyle="1">
    <w:name w:val="表格文字"/>
    <w:basedOn w:val="779"/>
    <w:uiPriority w:val="0"/>
    <w:qFormat/>
    <w:pPr>
      <w:jc w:val="left"/>
    </w:pPr>
    <w:rPr>
      <w:szCs w:val="21"/>
    </w:rPr>
  </w:style>
  <w:style w:type="paragraph" w:styleId="1069" w:customStyle="1">
    <w:name w:val="样式SZA"/>
    <w:basedOn w:val="992"/>
    <w:uiPriority w:val="0"/>
    <w:qFormat/>
    <w:pPr>
      <w:numPr>
        <w:ilvl w:val="0"/>
        <w:numId w:val="3"/>
      </w:numPr>
      <w:jc w:val="left"/>
      <w:spacing w:after="220" w:line="220" w:lineRule="atLeast"/>
      <w:widowControl/>
    </w:pPr>
    <w:rPr>
      <w:sz w:val="21"/>
      <w:szCs w:val="20"/>
    </w:rPr>
  </w:style>
  <w:style w:type="paragraph" w:styleId="1070" w:customStyle="1">
    <w:name w:val="样式 仿宋_GB2312 四号 黑色 行距: 1.5 倍行距2"/>
    <w:basedOn w:val="779"/>
    <w:uiPriority w:val="0"/>
    <w:qFormat/>
    <w:pPr>
      <w:spacing w:line="360" w:lineRule="auto"/>
    </w:pPr>
    <w:rPr>
      <w:rFonts w:ascii="仿宋_GB2312" w:eastAsia="仿宋_GB2312"/>
      <w:color w:val="000000"/>
      <w:sz w:val="24"/>
    </w:rPr>
  </w:style>
  <w:style w:type="paragraph" w:styleId="1071" w:customStyle="1">
    <w:name w:val="前言、引言标题"/>
    <w:next w:val="779"/>
    <w:uiPriority w:val="0"/>
    <w:qFormat/>
    <w:pPr>
      <w:numPr>
        <w:ilvl w:val="0"/>
        <w:numId w:val="4"/>
      </w:numPr>
      <w:jc w:val="center"/>
      <w:spacing w:before="640" w:after="560"/>
      <w:shd w:val="clear" w:color="ffffff" w:fill="ffffff"/>
      <w:outlineLvl w:val="0"/>
    </w:pPr>
    <w:rPr>
      <w:rFonts w:hint="default" w:ascii="黑体" w:hAnsi="Times New Roman" w:eastAsia="黑体" w:cs="黑体"/>
      <w:sz w:val="32"/>
      <w:szCs w:val="32"/>
      <w:lang w:val="en-US" w:eastAsia="zh-CN" w:bidi="ar-SA"/>
    </w:rPr>
  </w:style>
  <w:style w:type="paragraph" w:styleId="1072" w:customStyle="1">
    <w:name w:val="表"/>
    <w:basedOn w:val="779"/>
    <w:uiPriority w:val="0"/>
    <w:qFormat/>
    <w:pPr>
      <w:jc w:val="center"/>
    </w:pPr>
    <w:rPr>
      <w:szCs w:val="20"/>
    </w:rPr>
  </w:style>
  <w:style w:type="paragraph" w:styleId="1073" w:customStyle="1">
    <w:name w:val="表格"/>
    <w:basedOn w:val="779"/>
    <w:uiPriority w:val="0"/>
    <w:qFormat/>
    <w:pPr>
      <w:ind w:firstLine="42"/>
    </w:pPr>
    <w:rPr>
      <w:rFonts w:ascii="宋体" w:hAnsi="宋体"/>
      <w:sz w:val="20"/>
      <w:szCs w:val="20"/>
    </w:rPr>
  </w:style>
  <w:style w:type="paragraph" w:styleId="1074" w:customStyle="1">
    <w:name w:val="xl27"/>
    <w:basedOn w:val="779"/>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sz w:val="20"/>
      <w:szCs w:val="20"/>
    </w:rPr>
  </w:style>
  <w:style w:type="paragraph" w:styleId="1075" w:customStyle="1">
    <w:name w:val="+正文 Char"/>
    <w:basedOn w:val="779"/>
    <w:uiPriority w:val="0"/>
    <w:qFormat/>
    <w:pPr>
      <w:ind w:firstLine="200"/>
      <w:spacing w:line="360" w:lineRule="auto"/>
    </w:pPr>
    <w:rPr>
      <w:rFonts w:eastAsia="宋体"/>
      <w:sz w:val="24"/>
    </w:rPr>
  </w:style>
  <w:style w:type="paragraph" w:styleId="1076" w:customStyle="1">
    <w:name w:val="Body text|1"/>
    <w:basedOn w:val="779"/>
    <w:uiPriority w:val="0"/>
    <w:qFormat/>
    <w:pPr>
      <w:ind w:firstLine="400"/>
      <w:spacing w:line="420" w:lineRule="auto"/>
    </w:pPr>
    <w:rPr>
      <w:rFonts w:ascii="宋体" w:hAnsi="宋体" w:cs="宋体"/>
      <w:sz w:val="26"/>
      <w:szCs w:val="26"/>
      <w:lang w:val="zh-TW" w:eastAsia="zh-TW" w:bidi="zh-TW"/>
    </w:rPr>
  </w:style>
  <w:style w:type="paragraph" w:styleId="1077" w:customStyle="1">
    <w:name w:val="列表内容"/>
    <w:basedOn w:val="779"/>
    <w:next w:val="779"/>
    <w:uiPriority w:val="0"/>
    <w:qFormat/>
    <w:pPr>
      <w:numPr>
        <w:ilvl w:val="0"/>
        <w:numId w:val="5"/>
      </w:numPr>
      <w:ind w:left="0" w:firstLine="200"/>
      <w:jc w:val="left"/>
      <w:widowControl/>
    </w:pPr>
    <w:rPr>
      <w:sz w:val="18"/>
    </w:rPr>
  </w:style>
  <w:style w:type="paragraph" w:styleId="1078" w:customStyle="1">
    <w:name w:val="首行缩进"/>
    <w:basedOn w:val="779"/>
    <w:uiPriority w:val="0"/>
    <w:qFormat/>
    <w:pPr>
      <w:ind w:firstLine="480"/>
    </w:pPr>
    <w:rPr>
      <w:lang w:val="zh-CN"/>
    </w:rPr>
  </w:style>
  <w:style w:type="paragraph" w:styleId="1079" w:customStyle="1">
    <w:name w:val="+标题2"/>
    <w:basedOn w:val="974"/>
    <w:uiPriority w:val="0"/>
    <w:qFormat/>
    <w:pPr>
      <w:numPr>
        <w:ilvl w:val="1"/>
        <w:numId w:val="6"/>
      </w:numPr>
      <w:jc w:val="both"/>
      <w:keepLines/>
      <w:keepNext/>
      <w:spacing w:before="120" w:after="120" w:line="360" w:lineRule="auto"/>
      <w:widowControl w:val="off"/>
    </w:pPr>
    <w:rPr>
      <w:rFonts w:ascii="Times New Roman" w:hAnsi="Times New Roman" w:eastAsia="宋体"/>
      <w:color w:val="000000"/>
      <w:spacing w:val="0"/>
      <w:sz w:val="24"/>
      <w:szCs w:val="28"/>
    </w:rPr>
  </w:style>
  <w:style w:type="paragraph" w:styleId="1080" w:customStyle="1">
    <w:name w:val="正文_2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81" w:customStyle="1">
    <w:name w:val="Default"/>
    <w:uiPriority w:val="0"/>
    <w:qFormat/>
    <w:pPr>
      <w:widowControl w:val="off"/>
    </w:pPr>
    <w:rPr>
      <w:rFonts w:hint="default" w:ascii="宋体" w:hAnsi="宋体" w:eastAsia="宋体" w:cs="宋体"/>
      <w:color w:val="000000"/>
      <w:sz w:val="24"/>
      <w:szCs w:val="24"/>
      <w:lang w:val="en-US" w:eastAsia="zh-CN" w:bidi="ar-SA"/>
    </w:rPr>
  </w:style>
  <w:style w:type="paragraph" w:styleId="1082" w:customStyle="1">
    <w:name w:val="xl35"/>
    <w:basedOn w:val="779"/>
    <w:uiPriority w:val="0"/>
    <w:qFormat/>
    <w:pPr>
      <w:jc w:val="left"/>
      <w:spacing w:before="100" w:beforeAutospacing="1" w:after="100" w:afterAutospacing="1"/>
      <w:widowControl/>
      <w:pBdr>
        <w:top w:val="single" w:color="000000" w:sz="4" w:space="0"/>
        <w:left w:val="single" w:color="000000" w:sz="4" w:space="0"/>
        <w:bottom w:val="single" w:color="000000" w:sz="8" w:space="0"/>
      </w:pBdr>
    </w:pPr>
    <w:rPr>
      <w:rFonts w:ascii="宋体" w:hAnsi="宋体"/>
      <w:sz w:val="20"/>
      <w:szCs w:val="20"/>
    </w:rPr>
  </w:style>
  <w:style w:type="paragraph" w:styleId="1083" w:customStyle="1">
    <w:name w:val="无间隔"/>
    <w:uiPriority w:val="1"/>
    <w:qFormat/>
    <w:rPr>
      <w:rFonts w:hint="default" w:ascii="Times New Roman" w:hAnsi="Times New Roman" w:eastAsia="宋体" w:cs="Times New Roman"/>
      <w:sz w:val="24"/>
      <w:szCs w:val="24"/>
      <w:lang w:val="en-US" w:eastAsia="zh-CN" w:bidi="ar-SA"/>
    </w:rPr>
  </w:style>
  <w:style w:type="paragraph" w:styleId="1084" w:customStyle="1">
    <w:name w:val="纯文本1"/>
    <w:basedOn w:val="779"/>
    <w:uiPriority w:val="0"/>
    <w:qFormat/>
    <w:rPr>
      <w:rFonts w:ascii="宋体" w:hAnsi="Courier New" w:eastAsia="楷体_GB2312"/>
      <w:sz w:val="28"/>
    </w:rPr>
  </w:style>
  <w:style w:type="paragraph" w:styleId="1085" w:customStyle="1">
    <w:name w:val="p16"/>
    <w:basedOn w:val="779"/>
    <w:uiPriority w:val="0"/>
    <w:qFormat/>
    <w:pPr>
      <w:ind w:firstLine="420"/>
      <w:jc w:val="left"/>
      <w:widowControl/>
    </w:pPr>
    <w:rPr>
      <w:sz w:val="24"/>
    </w:rPr>
  </w:style>
  <w:style w:type="paragraph" w:styleId="1086" w:customStyle="1">
    <w:name w:val=" Char1"/>
    <w:basedOn w:val="779"/>
    <w:uiPriority w:val="0"/>
    <w:qFormat/>
    <w:rPr>
      <w:rFonts w:ascii="Tahoma" w:hAnsi="Tahoma"/>
      <w:sz w:val="24"/>
      <w:szCs w:val="20"/>
    </w:rPr>
  </w:style>
  <w:style w:type="paragraph" w:styleId="1087" w:customStyle="1">
    <w:name w:val="投标标题4"/>
    <w:basedOn w:val="976"/>
    <w:uiPriority w:val="0"/>
    <w:qFormat/>
    <w:pPr>
      <w:numPr>
        <w:ilvl w:val="3"/>
        <w:numId w:val="7"/>
      </w:numPr>
      <w:spacing w:before="0" w:after="0" w:line="240" w:lineRule="auto"/>
    </w:pPr>
    <w:rPr>
      <w:rFonts w:ascii="宋体" w:hAnsi="宋体" w:eastAsia="仿宋" w:cs="Arial"/>
      <w:color w:val="000000"/>
      <w:szCs w:val="24"/>
    </w:rPr>
  </w:style>
  <w:style w:type="paragraph" w:styleId="1088" w:customStyle="1">
    <w:name w:val="xl40"/>
    <w:basedOn w:val="77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089" w:customStyle="1">
    <w:name w:val="列出段落2"/>
    <w:basedOn w:val="779"/>
    <w:uiPriority w:val="99"/>
    <w:qFormat/>
    <w:pPr>
      <w:ind w:firstLine="420"/>
    </w:pPr>
    <w:rPr>
      <w:rFonts w:ascii="Calibri" w:hAnsi="Calibri" w:cs="Calibri"/>
      <w:szCs w:val="21"/>
    </w:rPr>
  </w:style>
  <w:style w:type="paragraph" w:styleId="1090" w:customStyle="1">
    <w:name w:val="正文表标题"/>
    <w:next w:val="1024"/>
    <w:uiPriority w:val="0"/>
    <w:qFormat/>
    <w:pPr>
      <w:numPr>
        <w:ilvl w:val="0"/>
        <w:numId w:val="8"/>
      </w:numPr>
      <w:jc w:val="center"/>
    </w:pPr>
    <w:rPr>
      <w:rFonts w:hint="default" w:ascii="黑体" w:hAnsi="Times New Roman" w:eastAsia="黑体" w:cs="黑体"/>
      <w:sz w:val="21"/>
      <w:szCs w:val="21"/>
      <w:lang w:val="en-US" w:eastAsia="zh-CN" w:bidi="ar-SA"/>
    </w:rPr>
  </w:style>
  <w:style w:type="paragraph" w:styleId="1091" w:customStyle="1">
    <w:name w:val="符号列表"/>
    <w:basedOn w:val="779"/>
    <w:uiPriority w:val="0"/>
    <w:qFormat/>
    <w:pPr>
      <w:jc w:val="left"/>
      <w:spacing w:line="440" w:lineRule="exact"/>
      <w:widowControl/>
    </w:pPr>
    <w:rPr>
      <w:rFonts w:ascii="宋体" w:hAnsi="宋体"/>
      <w:color w:val="000000"/>
    </w:rPr>
  </w:style>
  <w:style w:type="paragraph" w:styleId="1092" w:customStyle="1">
    <w:name w:val=" Char Char Char1 Char Char Char Char"/>
    <w:basedOn w:val="779"/>
    <w:uiPriority w:val="0"/>
    <w:qFormat/>
    <w:pPr>
      <w:jc w:val="left"/>
      <w:spacing w:after="160" w:line="240" w:lineRule="exact"/>
      <w:widowControl/>
    </w:pPr>
    <w:rPr>
      <w:rFonts w:ascii="Verdana" w:hAnsi="Verdana"/>
      <w:szCs w:val="20"/>
      <w:lang w:eastAsia="en-US"/>
    </w:rPr>
  </w:style>
  <w:style w:type="paragraph" w:styleId="1093" w:customStyle="1">
    <w:name w:val=" Char"/>
    <w:basedOn w:val="779"/>
    <w:uiPriority w:val="0"/>
    <w:qFormat/>
    <w:pPr>
      <w:numPr>
        <w:ilvl w:val="0"/>
        <w:numId w:val="9"/>
      </w:numPr>
      <w:tabs>
        <w:tab w:val="left" w:pos="960" w:leader="none"/>
      </w:tabs>
    </w:pPr>
    <w:rPr>
      <w:szCs w:val="20"/>
    </w:rPr>
  </w:style>
  <w:style w:type="paragraph" w:styleId="1094" w:customStyle="1">
    <w:name w:val="_Style 14"/>
    <w:basedOn w:val="779"/>
    <w:uiPriority w:val="0"/>
    <w:qFormat/>
  </w:style>
  <w:style w:type="paragraph" w:styleId="1095" w:customStyle="1">
    <w:name w:val="xl34"/>
    <w:basedOn w:val="779"/>
    <w:uiPriority w:val="0"/>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sz w:val="20"/>
      <w:szCs w:val="20"/>
    </w:rPr>
  </w:style>
  <w:style w:type="paragraph" w:styleId="1096" w:customStyle="1">
    <w:name w:val="xl30"/>
    <w:basedOn w:val="7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097" w:customStyle="1">
    <w:name w:val="+标题4"/>
    <w:basedOn w:val="976"/>
    <w:uiPriority w:val="0"/>
    <w:qFormat/>
    <w:pPr>
      <w:numPr>
        <w:ilvl w:val="3"/>
        <w:numId w:val="6"/>
      </w:numPr>
      <w:jc w:val="both"/>
      <w:keepLines/>
      <w:keepNext/>
      <w:spacing w:before="120" w:after="120" w:line="360" w:lineRule="auto"/>
      <w:widowControl w:val="off"/>
    </w:pPr>
    <w:rPr>
      <w:rFonts w:ascii="Times New Roman" w:hAnsi="Times New Roman"/>
      <w:b/>
      <w:bCs/>
      <w:color w:val="000000"/>
      <w:u w:val="none"/>
    </w:rPr>
  </w:style>
  <w:style w:type="paragraph" w:styleId="1098" w:customStyle="1">
    <w:name w:val="xl39"/>
    <w:basedOn w:val="779"/>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宋体" w:hAnsi="宋体"/>
      <w:sz w:val="20"/>
      <w:szCs w:val="20"/>
    </w:rPr>
  </w:style>
  <w:style w:type="paragraph" w:styleId="1099" w:customStyle="1">
    <w:name w:val="列出段落1"/>
    <w:basedOn w:val="779"/>
    <w:uiPriority w:val="0"/>
    <w:qFormat/>
    <w:pPr>
      <w:ind w:firstLine="420"/>
    </w:pPr>
  </w:style>
  <w:style w:type="paragraph" w:styleId="1100" w:customStyle="1">
    <w:name w:val="修订"/>
    <w:uiPriority w:val="99"/>
    <w:semiHidden/>
    <w:qFormat/>
    <w:rPr>
      <w:rFonts w:hint="default" w:ascii="Times New Roman" w:hAnsi="Times New Roman" w:eastAsia="宋体" w:cs="Times New Roman"/>
      <w:sz w:val="21"/>
      <w:szCs w:val="24"/>
      <w:lang w:val="en-US" w:eastAsia="zh-CN" w:bidi="ar-SA"/>
    </w:rPr>
  </w:style>
  <w:style w:type="paragraph" w:styleId="1101" w:customStyle="1">
    <w:name w:val="Table Paragraph"/>
    <w:basedOn w:val="779"/>
    <w:uiPriority w:val="1"/>
    <w:qFormat/>
    <w:rPr>
      <w:rFonts w:ascii="宋体" w:hAnsi="宋体" w:eastAsia="宋体" w:cs="宋体"/>
      <w:lang w:val="zh-CN" w:eastAsia="zh-CN" w:bidi="zh-CN"/>
    </w:rPr>
  </w:style>
  <w:style w:type="paragraph" w:styleId="1102" w:customStyle="1">
    <w:name w:val="xl38"/>
    <w:basedOn w:val="779"/>
    <w:uiPriority w:val="0"/>
    <w:qFormat/>
    <w:pPr>
      <w:jc w:val="center"/>
      <w:spacing w:before="100" w:beforeAutospacing="1" w:after="100" w:afterAutospacing="1"/>
      <w:widowControl/>
      <w:pBdr>
        <w:top w:val="single" w:color="000000" w:sz="4" w:space="0"/>
        <w:bottom w:val="single" w:color="000000" w:sz="8" w:space="0"/>
        <w:right w:val="single" w:color="000000" w:sz="4" w:space="0"/>
      </w:pBdr>
    </w:pPr>
    <w:rPr>
      <w:rFonts w:ascii="宋体" w:hAnsi="宋体"/>
      <w:sz w:val="20"/>
      <w:szCs w:val="20"/>
    </w:rPr>
  </w:style>
  <w:style w:type="paragraph" w:styleId="1103" w:customStyle="1">
    <w:name w:val=" Char Char"/>
    <w:basedOn w:val="779"/>
    <w:uiPriority w:val="0"/>
    <w:qFormat/>
    <w:rPr>
      <w:szCs w:val="21"/>
    </w:rPr>
  </w:style>
  <w:style w:type="paragraph" w:styleId="1104" w:customStyle="1">
    <w:name w:val="xl36"/>
    <w:basedOn w:val="779"/>
    <w:uiPriority w:val="0"/>
    <w:qFormat/>
    <w:pPr>
      <w:jc w:val="center"/>
      <w:spacing w:before="100" w:beforeAutospacing="1" w:after="100" w:afterAutospacing="1"/>
      <w:widowControl/>
      <w:pBdr>
        <w:top w:val="single" w:color="000000" w:sz="4" w:space="0"/>
        <w:bottom w:val="single" w:color="000000" w:sz="8" w:space="0"/>
      </w:pBdr>
    </w:pPr>
    <w:rPr>
      <w:rFonts w:ascii="宋体" w:hAnsi="宋体"/>
      <w:sz w:val="20"/>
      <w:szCs w:val="20"/>
    </w:rPr>
  </w:style>
  <w:style w:type="paragraph" w:styleId="1105" w:customStyle="1">
    <w:name w:val="xl41"/>
    <w:basedOn w:val="779"/>
    <w:uiPriority w:val="0"/>
    <w:qFormat/>
    <w:pPr>
      <w:jc w:val="left"/>
      <w:spacing w:before="100" w:beforeAutospacing="1" w:after="100" w:afterAutospacing="1"/>
      <w:shd w:val="clear" w:color="auto" w:fill="00ffff"/>
      <w:widowControl/>
      <w:pBdr>
        <w:top w:val="single" w:color="000000" w:sz="4" w:space="0"/>
        <w:left w:val="single" w:color="000000" w:sz="8" w:space="0"/>
        <w:bottom w:val="single" w:color="000000" w:sz="4" w:space="0"/>
        <w:right w:val="single" w:color="000000" w:sz="4" w:space="0"/>
      </w:pBdr>
    </w:pPr>
    <w:rPr>
      <w:rFonts w:ascii="宋体" w:hAnsi="宋体"/>
      <w:sz w:val="20"/>
      <w:szCs w:val="20"/>
    </w:rPr>
  </w:style>
  <w:style w:type="paragraph" w:styleId="1106" w:customStyle="1">
    <w:name w:val="font6"/>
    <w:basedOn w:val="779"/>
    <w:uiPriority w:val="0"/>
    <w:qFormat/>
    <w:pPr>
      <w:jc w:val="left"/>
      <w:spacing w:before="100" w:beforeAutospacing="1" w:after="100" w:afterAutospacing="1"/>
      <w:widowControl/>
    </w:pPr>
    <w:rPr>
      <w:rFonts w:hint="eastAsia" w:ascii="宋体" w:hAnsi="宋体"/>
      <w:sz w:val="20"/>
      <w:szCs w:val="20"/>
    </w:rPr>
  </w:style>
  <w:style w:type="paragraph" w:styleId="1107" w:customStyle="1">
    <w:name w:val="xl31"/>
    <w:basedOn w:val="779"/>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sz w:val="20"/>
      <w:szCs w:val="20"/>
    </w:rPr>
  </w:style>
  <w:style w:type="paragraph" w:styleId="1108" w:customStyle="1">
    <w:name w:val="p0"/>
    <w:basedOn w:val="779"/>
    <w:uiPriority w:val="0"/>
    <w:qFormat/>
    <w:pPr>
      <w:widowControl/>
    </w:pPr>
    <w:rPr>
      <w:szCs w:val="21"/>
    </w:rPr>
  </w:style>
  <w:style w:type="paragraph" w:styleId="1109" w:customStyle="1">
    <w:name w:val="五级条标题"/>
    <w:basedOn w:val="1048"/>
    <w:next w:val="1024"/>
    <w:uiPriority w:val="0"/>
    <w:qFormat/>
    <w:pPr>
      <w:outlineLvl w:val="6"/>
    </w:pPr>
  </w:style>
  <w:style w:type="paragraph" w:styleId="1110">
    <w:name w:val="List Paragraph"/>
    <w:basedOn w:val="779"/>
    <w:uiPriority w:val="0"/>
    <w:qFormat/>
    <w:pPr>
      <w:ind w:firstLine="420"/>
    </w:pPr>
    <w:rPr>
      <w:rFonts w:ascii="Calibri" w:hAnsi="Calibri"/>
      <w:szCs w:val="22"/>
    </w:rPr>
  </w:style>
  <w:style w:type="paragraph" w:styleId="1111" w:customStyle="1">
    <w:name w:val="正文1_0"/>
    <w:uiPriority w:val="0"/>
    <w:qFormat/>
    <w:pPr>
      <w:jc w:val="both"/>
      <w:widowControl w:val="off"/>
    </w:pPr>
    <w:rPr>
      <w:rFonts w:hint="default" w:ascii="Times New Roman" w:hAnsi="Times New Roman" w:eastAsia="Times New Roman" w:cs="Times New Roman"/>
      <w:sz w:val="21"/>
      <w:szCs w:val="24"/>
      <w:lang w:val="en-US" w:eastAsia="zh-CN" w:bidi="ar-SA"/>
    </w:rPr>
  </w:style>
  <w:style w:type="paragraph" w:styleId="1112" w:customStyle="1">
    <w:name w:val="xl33"/>
    <w:basedOn w:val="779"/>
    <w:uiPriority w:val="0"/>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sz w:val="20"/>
      <w:szCs w:val="20"/>
    </w:rPr>
  </w:style>
  <w:style w:type="paragraph" w:styleId="1113" w:customStyle="1">
    <w:name w:val="font7"/>
    <w:basedOn w:val="779"/>
    <w:uiPriority w:val="0"/>
    <w:qFormat/>
    <w:pPr>
      <w:jc w:val="left"/>
      <w:spacing w:before="100" w:beforeAutospacing="1" w:after="100" w:afterAutospacing="1"/>
      <w:widowControl/>
    </w:pPr>
    <w:rPr>
      <w:rFonts w:ascii="Verdana" w:hAnsi="Verdana"/>
      <w:sz w:val="20"/>
      <w:szCs w:val="20"/>
    </w:rPr>
  </w:style>
  <w:style w:type="paragraph" w:styleId="1114" w:customStyle="1">
    <w:name w:val="表正文"/>
    <w:basedOn w:val="779"/>
    <w:next w:val="779"/>
    <w:uiPriority w:val="0"/>
    <w:qFormat/>
    <w:rPr>
      <w:sz w:val="24"/>
    </w:rPr>
  </w:style>
  <w:style w:type="paragraph" w:styleId="1115" w:customStyle="1">
    <w:name w:val="xl28"/>
    <w:basedOn w:val="77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16" w:customStyle="1">
    <w:name w:val="xl29"/>
    <w:basedOn w:val="77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Verdana" w:hAnsi="Verdana"/>
      <w:sz w:val="20"/>
      <w:szCs w:val="20"/>
    </w:rPr>
  </w:style>
  <w:style w:type="paragraph" w:styleId="1117" w:customStyle="1">
    <w:name w:val="样式 正文缩进 + 首行缩进:  2 字符 段前: 0.5 行 段后: 0.5 行"/>
    <w:basedOn w:val="986"/>
    <w:uiPriority w:val="0"/>
    <w:qFormat/>
    <w:pPr>
      <w:ind w:firstLine="480"/>
      <w:jc w:val="both"/>
      <w:spacing w:before="156" w:after="156" w:line="360" w:lineRule="auto"/>
    </w:pPr>
    <w:rPr>
      <w:rFonts w:eastAsia="宋体"/>
      <w:sz w:val="21"/>
    </w:rPr>
  </w:style>
  <w:style w:type="paragraph" w:styleId="1118" w:customStyle="1">
    <w:name w:val="小标题"/>
    <w:basedOn w:val="779"/>
    <w:next w:val="986"/>
    <w:uiPriority w:val="0"/>
    <w:qFormat/>
    <w:pPr>
      <w:ind w:left="200" w:hanging="200"/>
      <w:spacing w:before="78" w:after="78"/>
      <w:tabs>
        <w:tab w:val="left" w:pos="420" w:leader="none"/>
      </w:tabs>
    </w:pPr>
    <w:rPr>
      <w:rFonts w:ascii="Arial" w:hAnsi="Arial" w:eastAsia="黑体"/>
      <w:b/>
      <w:sz w:val="28"/>
    </w:rPr>
  </w:style>
  <w:style w:type="paragraph" w:styleId="1119" w:customStyle="1">
    <w:name w:val="xl26"/>
    <w:basedOn w:val="779"/>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sz w:val="20"/>
      <w:szCs w:val="20"/>
    </w:rPr>
  </w:style>
  <w:style w:type="table" w:styleId="1120" w:customStyle="1">
    <w:name w:val="网格型1"/>
    <w:basedOn w:val="983"/>
    <w:uiPriority w:val="59"/>
    <w:unhideWhenUsed/>
    <w:qFormat/>
    <w:rPr>
      <w:rFonts w:ascii="Calibri" w:hAnsi="Calibri" w:eastAsia="宋体" w:cs="Times New Roman"/>
    </w:rPr>
    <w:tblPr/>
  </w:style>
  <w:style w:type="paragraph" w:styleId="1121" w:customStyle="1">
    <w:name w:val="正文 New New New New New New New New New New New New New New New12"/>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122" w:customStyle="1">
    <w:name w:val="font71"/>
    <w:basedOn w:val="789"/>
    <w:uiPriority w:val="0"/>
    <w:qFormat/>
    <w:rPr>
      <w:rFonts w:ascii="Arial" w:hAnsi="Arial" w:cs="Arial"/>
      <w:color w:val="000000"/>
      <w:sz w:val="22"/>
      <w:szCs w:val="22"/>
      <w:u w:val="none"/>
    </w:rPr>
  </w:style>
  <w:style w:type="character" w:styleId="1123" w:customStyle="1">
    <w:name w:val="font81"/>
    <w:basedOn w:val="789"/>
    <w:uiPriority w:val="0"/>
    <w:qFormat/>
    <w:rPr>
      <w:rFonts w:ascii="宋体" w:hAnsi="宋体" w:eastAsia="宋体" w:cs="宋体"/>
      <w:color w:val="000000"/>
      <w:sz w:val="22"/>
      <w:szCs w:val="22"/>
      <w:u w:val="none"/>
    </w:rPr>
  </w:style>
  <w:style w:type="character" w:styleId="1124" w:customStyle="1">
    <w:name w:val="font91"/>
    <w:basedOn w:val="789"/>
    <w:uiPriority w:val="0"/>
    <w:qFormat/>
    <w:rPr>
      <w:rFonts w:ascii="Arial Unicode MS" w:hAnsi="Arial Unicode MS" w:eastAsia="Arial Unicode MS" w:cs="Arial Unicode MS"/>
      <w:color w:val="000000"/>
      <w:sz w:val="22"/>
      <w:szCs w:val="22"/>
      <w:u w:val="none"/>
    </w:rPr>
  </w:style>
  <w:style w:type="character" w:styleId="1125" w:customStyle="1">
    <w:name w:val="font101"/>
    <w:basedOn w:val="789"/>
    <w:uiPriority w:val="0"/>
    <w:qFormat/>
    <w:rPr>
      <w:rFonts w:hint="default" w:ascii="Arial" w:hAnsi="Arial" w:cs="Arial"/>
      <w:color w:val="000000"/>
      <w:sz w:val="20"/>
      <w:szCs w:val="20"/>
      <w:u w:val="none"/>
    </w:rPr>
  </w:style>
  <w:style w:type="character" w:styleId="1126" w:customStyle="1">
    <w:name w:val="font61"/>
    <w:basedOn w:val="789"/>
    <w:uiPriority w:val="0"/>
    <w:qFormat/>
    <w:rPr>
      <w:rFonts w:hint="eastAsia" w:ascii="宋体" w:hAnsi="宋体" w:eastAsia="宋体" w:cs="宋体"/>
      <w:color w:val="000000"/>
      <w:sz w:val="20"/>
      <w:szCs w:val="20"/>
      <w:u w:val="none"/>
    </w:rPr>
  </w:style>
  <w:style w:type="character" w:styleId="1127" w:customStyle="1">
    <w:name w:val="font112"/>
    <w:basedOn w:val="789"/>
    <w:uiPriority w:val="0"/>
    <w:qFormat/>
    <w:rPr>
      <w:rFonts w:ascii="宋体" w:hAnsi="宋体" w:eastAsia="宋体" w:cs="宋体"/>
      <w:color w:val="000000"/>
      <w:sz w:val="20"/>
      <w:szCs w:val="20"/>
      <w:u w:val="none"/>
    </w:rPr>
  </w:style>
  <w:style w:type="character" w:styleId="1128" w:customStyle="1">
    <w:name w:val="NormalCharacter"/>
    <w:uiPriority w:val="0"/>
    <w:qFormat/>
    <w:rPr>
      <w:rFonts w:ascii="Times New Roman" w:hAnsi="Times New Roman" w:eastAsia="宋体" w:cs="Times New Roman"/>
      <w:sz w:val="21"/>
      <w:lang w:val="en-US" w:eastAsia="zh-CN" w:bidi="ar-SA"/>
    </w:rPr>
  </w:style>
  <w:style w:type="paragraph" w:styleId="1129" w:customStyle="1">
    <w:name w:val="正文(其它)"/>
    <w:basedOn w:val="779"/>
    <w:uiPriority w:val="0"/>
    <w:qFormat/>
    <w:pPr>
      <w:jc w:val="center"/>
      <w:spacing w:line="312" w:lineRule="auto"/>
    </w:pPr>
    <w:rPr>
      <w:rFonts w:ascii="黑体" w:eastAsia="黑体"/>
      <w:sz w:val="32"/>
      <w:szCs w:val="32"/>
    </w:rPr>
  </w:style>
  <w:style w:type="character" w:styleId="1130" w:customStyle="1">
    <w:name w:val="font31"/>
    <w:basedOn w:val="789"/>
    <w:uiPriority w:val="0"/>
    <w:qFormat/>
    <w:rPr>
      <w:rFonts w:hint="eastAsia" w:ascii="宋体" w:hAnsi="宋体" w:eastAsia="宋体" w:cs="宋体"/>
      <w:color w:val="000000"/>
      <w:sz w:val="22"/>
      <w:szCs w:val="22"/>
      <w:u w:val="none"/>
    </w:rPr>
  </w:style>
  <w:style w:type="paragraph" w:styleId="1131" w:customStyle="1">
    <w:name w:val="正文文本缩进12"/>
    <w:basedOn w:val="779"/>
    <w:next w:val="1132"/>
    <w:uiPriority w:val="0"/>
    <w:qFormat/>
    <w:pPr>
      <w:ind w:firstLine="560"/>
      <w:jc w:val="left"/>
      <w:spacing w:line="300" w:lineRule="auto"/>
    </w:pPr>
    <w:rPr>
      <w:rFonts w:eastAsia="Times New Roman"/>
      <w:sz w:val="28"/>
    </w:rPr>
  </w:style>
  <w:style w:type="paragraph" w:styleId="1132" w:customStyle="1">
    <w:name w:val="寄信人地址11"/>
    <w:basedOn w:val="779"/>
    <w:uiPriority w:val="0"/>
    <w:qFormat/>
    <w:rPr>
      <w:rFonts w:ascii="Arial" w:hAnsi="Arial"/>
    </w:rPr>
  </w:style>
  <w:style w:type="character" w:styleId="1133" w:customStyle="1">
    <w:name w:val="font51"/>
    <w:basedOn w:val="789"/>
    <w:uiPriority w:val="0"/>
    <w:qFormat/>
    <w:rPr>
      <w:rFonts w:hint="eastAsia" w:ascii="宋体" w:hAnsi="宋体" w:eastAsia="宋体" w:cs="宋体"/>
      <w:color w:val="ff0000"/>
      <w:sz w:val="20"/>
      <w:szCs w:val="20"/>
      <w:u w:val="none"/>
    </w:rPr>
  </w:style>
  <w:style w:type="paragraph" w:styleId="1134" w:customStyle="1">
    <w:name w:val="纯文本6"/>
    <w:basedOn w:val="779"/>
    <w:uiPriority w:val="0"/>
    <w:qFormat/>
    <w:rPr>
      <w:rFonts w:ascii="宋体" w:hAnsi="Courier New" w:eastAsia="楷体_GB2312"/>
      <w:sz w:val="26"/>
      <w:szCs w:val="20"/>
    </w:rPr>
  </w:style>
  <w:style w:type="numbering" w:styleId="113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 Id="rId19" Type="http://schemas.openxmlformats.org/officeDocument/2006/relationships/image" Target="media/image1.emf"/><Relationship Id="rId20"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39"/>
    <customShpInfo spid="_x0000_s1036"/>
    <customShpInfo spid="_x0000_s1038"/>
    <customShpInfo spid="_x0000_s1033"/>
    <customShpInfo spid="_x0000_s1031"/>
    <customShpInfo spid="_x0000_s1035"/>
    <customShpInfo spid="_x0000_s1040"/>
    <customShpInfo spid="_x0000_s1030"/>
    <customShpInfo spid="_x0000_s1026"/>
    <customShpInfo spid="_x0000_s1032"/>
    <customShpInfo spid="_x0000_s1028"/>
    <customShpInfo spid="_x0000_s1034"/>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市 政</dc:title>
  <dc:creator>ja</dc:creator>
  <cp:lastModifiedBy>陈嘉晖</cp:lastModifiedBy>
  <cp:revision>14</cp:revision>
  <dcterms:created xsi:type="dcterms:W3CDTF">2023-05-14T07:34:00Z</dcterms:created>
  <dcterms:modified xsi:type="dcterms:W3CDTF">2026-06-01T03:46:44Z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eyJoZGlkIjoiNDMzNTBiNGNkZmM5ZTRhNDYyMDY1MDZlYzdmOTk1YTQiLCJ1c2VySWQiOiIxMzY5NjAzNTY0In0=</vt:lpwstr>
  </property>
  <property fmtid="{D5CDD505-2E9C-101B-9397-08002B2CF9AE}" pid="3" name="KSOProductBuildVer">
    <vt:lpwstr>2052-12.1.0.26375</vt:lpwstr>
  </property>
  <property fmtid="{D5CDD505-2E9C-101B-9397-08002B2CF9AE}" pid="4" name="ICV">
    <vt:lpwstr>5E0980AF306D483E8ED1A40D2F68262F_12</vt:lpwstr>
  </property>
</Properties>
</file>